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23E375">
      <w:pPr>
        <w:keepNext/>
        <w:keepLines w:val="0"/>
        <w:pageBreakBefore w:val="0"/>
        <w:widowControl w:val="0"/>
        <w:kinsoku/>
        <w:wordWrap/>
        <w:overflowPunct/>
        <w:topLinePunct w:val="0"/>
        <w:autoSpaceDE w:val="0"/>
        <w:autoSpaceDN w:val="0"/>
        <w:bidi w:val="0"/>
        <w:adjustRightInd/>
        <w:snapToGrid/>
        <w:spacing w:before="0" w:beforeLines="0" w:after="0" w:afterLines="0" w:line="600" w:lineRule="exact"/>
        <w:ind w:right="0" w:rightChars="0"/>
        <w:jc w:val="both"/>
        <w:textAlignment w:val="auto"/>
        <w:outlineLvl w:val="9"/>
        <w:rPr>
          <w:rFonts w:hint="default" w:ascii="Times New Roman" w:hAnsi="Times New Roman" w:eastAsia="方正仿宋_GBK" w:cs="Times New Roman"/>
          <w:color w:val="000000"/>
          <w:sz w:val="32"/>
          <w:szCs w:val="32"/>
          <w:lang w:eastAsia="zh-CN"/>
        </w:rPr>
      </w:pPr>
    </w:p>
    <w:p w14:paraId="573E32FC">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auto"/>
        <w:outlineLvl w:val="9"/>
        <w:rPr>
          <w:rFonts w:hint="default" w:ascii="Times New Roman" w:hAnsi="Times New Roman" w:eastAsia="方正小标宋简体" w:cs="Times New Roman"/>
          <w:sz w:val="44"/>
          <w:szCs w:val="44"/>
          <w:lang w:val="en-US" w:eastAsia="zh-CN"/>
        </w:rPr>
      </w:pPr>
    </w:p>
    <w:p w14:paraId="666FA11C">
      <w:pPr>
        <w:keepNext w:val="0"/>
        <w:keepLines w:val="0"/>
        <w:pageBreakBefore w:val="0"/>
        <w:widowControl w:val="0"/>
        <w:kinsoku/>
        <w:wordWrap/>
        <w:overflowPunct/>
        <w:topLinePunct w:val="0"/>
        <w:autoSpaceDE/>
        <w:autoSpaceDN/>
        <w:bidi w:val="0"/>
        <w:adjustRightInd/>
        <w:snapToGrid/>
        <w:spacing w:line="720" w:lineRule="exact"/>
        <w:jc w:val="center"/>
        <w:textAlignment w:val="auto"/>
        <w:outlineLvl w:val="0"/>
        <w:rPr>
          <w:rFonts w:hint="eastAsia" w:ascii="方正小标宋_GBK" w:hAnsi="方正小标宋_GBK" w:eastAsia="方正小标宋_GBK" w:cs="方正小标宋_GBK"/>
          <w:b w:val="0"/>
          <w:bCs w:val="0"/>
          <w:color w:val="auto"/>
          <w:sz w:val="44"/>
          <w:szCs w:val="44"/>
          <w:u w:val="none" w:color="auto"/>
          <w:lang w:eastAsia="zh-CN"/>
        </w:rPr>
      </w:pPr>
      <w:r>
        <w:rPr>
          <w:rFonts w:hint="eastAsia" w:ascii="方正小标宋_GBK" w:hAnsi="方正小标宋_GBK" w:eastAsia="方正小标宋_GBK" w:cs="方正小标宋_GBK"/>
          <w:b w:val="0"/>
          <w:bCs w:val="0"/>
          <w:color w:val="auto"/>
          <w:sz w:val="44"/>
          <w:szCs w:val="44"/>
          <w:u w:val="none" w:color="auto"/>
          <w:lang w:eastAsia="zh-CN"/>
        </w:rPr>
        <w:t>亳州市人民政府办公室关于印发亳州市</w:t>
      </w:r>
    </w:p>
    <w:p w14:paraId="7FC79CF4">
      <w:pPr>
        <w:keepNext w:val="0"/>
        <w:keepLines w:val="0"/>
        <w:pageBreakBefore w:val="0"/>
        <w:widowControl w:val="0"/>
        <w:kinsoku/>
        <w:wordWrap/>
        <w:overflowPunct/>
        <w:topLinePunct w:val="0"/>
        <w:autoSpaceDE/>
        <w:autoSpaceDN/>
        <w:bidi w:val="0"/>
        <w:adjustRightInd/>
        <w:snapToGrid/>
        <w:spacing w:line="720" w:lineRule="exact"/>
        <w:jc w:val="center"/>
        <w:textAlignment w:val="auto"/>
        <w:outlineLvl w:val="0"/>
        <w:rPr>
          <w:rFonts w:hint="eastAsia" w:ascii="方正小标宋_GBK" w:hAnsi="方正小标宋_GBK" w:eastAsia="方正小标宋_GBK" w:cs="方正小标宋_GBK"/>
          <w:b w:val="0"/>
          <w:bCs w:val="0"/>
          <w:color w:val="auto"/>
          <w:sz w:val="44"/>
          <w:szCs w:val="44"/>
          <w:u w:val="none" w:color="auto"/>
          <w:lang w:eastAsia="zh-CN"/>
        </w:rPr>
      </w:pPr>
      <w:r>
        <w:rPr>
          <w:rFonts w:hint="eastAsia" w:ascii="方正小标宋_GBK" w:hAnsi="方正小标宋_GBK" w:eastAsia="方正小标宋_GBK" w:cs="方正小标宋_GBK"/>
          <w:b w:val="0"/>
          <w:bCs w:val="0"/>
          <w:color w:val="auto"/>
          <w:sz w:val="44"/>
          <w:szCs w:val="44"/>
          <w:u w:val="none" w:color="auto"/>
          <w:lang w:eastAsia="zh-CN"/>
        </w:rPr>
        <w:t>工业企业“扶优育规”工程实施方案的通知</w:t>
      </w:r>
    </w:p>
    <w:p w14:paraId="61103DC9">
      <w:pPr>
        <w:keepNext w:val="0"/>
        <w:keepLines w:val="0"/>
        <w:pageBreakBefore w:val="0"/>
        <w:widowControl w:val="0"/>
        <w:kinsoku/>
        <w:wordWrap/>
        <w:overflowPunct/>
        <w:topLinePunct w:val="0"/>
        <w:autoSpaceDE/>
        <w:autoSpaceDN/>
        <w:bidi w:val="0"/>
        <w:adjustRightInd/>
        <w:snapToGrid/>
        <w:spacing w:line="720" w:lineRule="exact"/>
        <w:jc w:val="center"/>
        <w:textAlignment w:val="auto"/>
        <w:outlineLvl w:val="0"/>
        <w:rPr>
          <w:rFonts w:hint="eastAsia" w:ascii="方正小标宋简体" w:hAnsi="方正小标宋简体" w:eastAsia="方正小标宋简体" w:cs="方正小标宋简体"/>
          <w:b w:val="0"/>
          <w:bCs w:val="0"/>
          <w:color w:val="auto"/>
          <w:sz w:val="44"/>
          <w:szCs w:val="44"/>
          <w:u w:val="none" w:color="auto"/>
          <w:lang w:eastAsia="zh-CN"/>
        </w:rPr>
      </w:pPr>
      <w:r>
        <w:rPr>
          <w:rFonts w:hint="default" w:ascii="Times New Roman" w:hAnsi="Times New Roman" w:eastAsia="方正仿宋_GBK" w:cs="Times New Roman"/>
          <w:b w:val="0"/>
          <w:bCs w:val="0"/>
          <w:i w:val="0"/>
          <w:iCs w:val="0"/>
          <w:color w:val="000000"/>
          <w:spacing w:val="0"/>
          <w:kern w:val="0"/>
          <w:sz w:val="32"/>
          <w:szCs w:val="32"/>
          <w:u w:val="none" w:color="auto"/>
        </w:rPr>
        <w:t>亳政办〔20</w:t>
      </w:r>
      <w:r>
        <w:rPr>
          <w:rFonts w:hint="default" w:ascii="Times New Roman" w:hAnsi="Times New Roman" w:eastAsia="方正仿宋_GBK" w:cs="Times New Roman"/>
          <w:b w:val="0"/>
          <w:bCs w:val="0"/>
          <w:i w:val="0"/>
          <w:iCs w:val="0"/>
          <w:color w:val="000000"/>
          <w:spacing w:val="0"/>
          <w:kern w:val="0"/>
          <w:sz w:val="32"/>
          <w:szCs w:val="32"/>
          <w:u w:val="none" w:color="auto"/>
          <w:lang w:val="en-US" w:eastAsia="zh-CN"/>
        </w:rPr>
        <w:t>2</w:t>
      </w:r>
      <w:r>
        <w:rPr>
          <w:rFonts w:hint="eastAsia" w:ascii="Times New Roman" w:hAnsi="Times New Roman" w:eastAsia="方正仿宋_GBK" w:cs="Times New Roman"/>
          <w:b w:val="0"/>
          <w:bCs w:val="0"/>
          <w:i w:val="0"/>
          <w:iCs w:val="0"/>
          <w:color w:val="000000"/>
          <w:spacing w:val="0"/>
          <w:kern w:val="0"/>
          <w:sz w:val="32"/>
          <w:szCs w:val="32"/>
          <w:u w:val="none" w:color="auto"/>
          <w:lang w:val="en-US" w:eastAsia="zh-CN"/>
        </w:rPr>
        <w:t>2</w:t>
      </w:r>
      <w:r>
        <w:rPr>
          <w:rFonts w:hint="default" w:ascii="Times New Roman" w:hAnsi="Times New Roman" w:eastAsia="方正仿宋_GBK" w:cs="Times New Roman"/>
          <w:b w:val="0"/>
          <w:bCs w:val="0"/>
          <w:i w:val="0"/>
          <w:iCs w:val="0"/>
          <w:color w:val="000000"/>
          <w:spacing w:val="0"/>
          <w:kern w:val="0"/>
          <w:sz w:val="32"/>
          <w:szCs w:val="32"/>
          <w:u w:val="none" w:color="auto"/>
        </w:rPr>
        <w:t>〕</w:t>
      </w:r>
      <w:r>
        <w:rPr>
          <w:rFonts w:hint="eastAsia" w:ascii="Times New Roman" w:hAnsi="Times New Roman" w:eastAsia="方正仿宋_GBK" w:cs="Times New Roman"/>
          <w:b w:val="0"/>
          <w:bCs w:val="0"/>
          <w:i w:val="0"/>
          <w:iCs w:val="0"/>
          <w:color w:val="000000"/>
          <w:spacing w:val="0"/>
          <w:kern w:val="0"/>
          <w:sz w:val="32"/>
          <w:szCs w:val="32"/>
          <w:u w:val="none" w:color="auto"/>
          <w:lang w:val="en-US" w:eastAsia="zh-CN"/>
        </w:rPr>
        <w:t>3</w:t>
      </w:r>
      <w:r>
        <w:rPr>
          <w:rFonts w:hint="default" w:ascii="Times New Roman" w:hAnsi="Times New Roman" w:eastAsia="方正仿宋_GBK" w:cs="Times New Roman"/>
          <w:b w:val="0"/>
          <w:bCs w:val="0"/>
          <w:i w:val="0"/>
          <w:iCs w:val="0"/>
          <w:color w:val="000000"/>
          <w:spacing w:val="0"/>
          <w:kern w:val="0"/>
          <w:sz w:val="32"/>
          <w:szCs w:val="32"/>
          <w:u w:val="none" w:color="auto"/>
        </w:rPr>
        <w:t>号</w:t>
      </w:r>
    </w:p>
    <w:p w14:paraId="111BD69D">
      <w:pPr>
        <w:rPr>
          <w:rFonts w:hint="eastAsia" w:ascii="方正仿宋_GBK" w:hAnsi="方正仿宋_GBK" w:eastAsia="方正仿宋_GBK" w:cs="方正仿宋_GBK"/>
          <w:b w:val="0"/>
          <w:bCs w:val="0"/>
          <w:color w:val="auto"/>
          <w:sz w:val="32"/>
          <w:szCs w:val="32"/>
          <w:u w:val="none" w:color="auto"/>
          <w:lang w:eastAsia="zh-CN"/>
        </w:rPr>
      </w:pPr>
    </w:p>
    <w:p w14:paraId="44404329">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jc w:val="both"/>
        <w:textAlignment w:val="auto"/>
        <w:outlineLvl w:val="9"/>
        <w:rPr>
          <w:rFonts w:hint="eastAsia" w:ascii="方正仿宋_GBK" w:hAnsi="方正仿宋_GBK" w:eastAsia="方正仿宋_GBK" w:cs="方正仿宋_GBK"/>
          <w:b w:val="0"/>
          <w:bCs w:val="0"/>
          <w:color w:val="auto"/>
          <w:sz w:val="32"/>
          <w:szCs w:val="32"/>
          <w:u w:val="none" w:color="auto"/>
          <w:lang w:eastAsia="zh-CN"/>
        </w:rPr>
      </w:pPr>
      <w:r>
        <w:rPr>
          <w:rFonts w:hint="eastAsia" w:ascii="方正仿宋_GBK" w:hAnsi="方正仿宋_GBK" w:eastAsia="方正仿宋_GBK" w:cs="方正仿宋_GBK"/>
          <w:b w:val="0"/>
          <w:bCs w:val="0"/>
          <w:color w:val="auto"/>
          <w:sz w:val="32"/>
          <w:szCs w:val="32"/>
          <w:u w:val="none" w:color="auto"/>
          <w:lang w:eastAsia="zh-CN"/>
        </w:rPr>
        <w:t>各县、区人民政府，亳州高新区管委会、亳芜现代产业园区管委会，</w:t>
      </w:r>
      <w:r>
        <w:rPr>
          <w:rFonts w:hint="eastAsia" w:ascii="仿宋_GB2312" w:eastAsia="仿宋_GB2312"/>
          <w:sz w:val="32"/>
          <w:szCs w:val="32"/>
          <w:lang w:eastAsia="zh-CN"/>
        </w:rPr>
        <w:t>市政府各部门、各直属机构</w:t>
      </w:r>
      <w:r>
        <w:rPr>
          <w:rFonts w:hint="eastAsia" w:ascii="方正仿宋_GBK" w:hAnsi="方正仿宋_GBK" w:eastAsia="方正仿宋_GBK" w:cs="方正仿宋_GBK"/>
          <w:b w:val="0"/>
          <w:bCs w:val="0"/>
          <w:color w:val="auto"/>
          <w:sz w:val="32"/>
          <w:szCs w:val="32"/>
          <w:u w:val="none" w:color="auto"/>
          <w:lang w:eastAsia="zh-CN"/>
        </w:rPr>
        <w:t>：</w:t>
      </w:r>
    </w:p>
    <w:p w14:paraId="00988643">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200"/>
        <w:jc w:val="both"/>
        <w:textAlignment w:val="auto"/>
        <w:outlineLvl w:val="9"/>
        <w:rPr>
          <w:rFonts w:hint="eastAsia" w:ascii="方正仿宋_GBK" w:hAnsi="方正仿宋_GBK" w:eastAsia="方正仿宋_GBK" w:cs="方正仿宋_GBK"/>
          <w:b w:val="0"/>
          <w:bCs w:val="0"/>
          <w:color w:val="auto"/>
          <w:sz w:val="32"/>
          <w:szCs w:val="32"/>
          <w:u w:val="none" w:color="auto"/>
          <w:lang w:eastAsia="zh-CN"/>
        </w:rPr>
      </w:pPr>
      <w:r>
        <w:rPr>
          <w:rFonts w:hint="eastAsia" w:ascii="方正仿宋_GBK" w:hAnsi="方正仿宋_GBK" w:eastAsia="方正仿宋_GBK" w:cs="方正仿宋_GBK"/>
          <w:b w:val="0"/>
          <w:bCs w:val="0"/>
          <w:color w:val="auto"/>
          <w:sz w:val="32"/>
          <w:szCs w:val="32"/>
          <w:u w:val="none" w:color="auto"/>
          <w:lang w:eastAsia="zh-CN"/>
        </w:rPr>
        <w:t>《亳州市工业企业“扶优育规”工程实施方案》已经市政府同意，请结合实际，认真组织实施。</w:t>
      </w:r>
    </w:p>
    <w:p w14:paraId="6DB5DD87">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jc w:val="both"/>
        <w:textAlignment w:val="auto"/>
        <w:outlineLvl w:val="9"/>
        <w:rPr>
          <w:rFonts w:hint="eastAsia" w:ascii="方正仿宋_GBK" w:hAnsi="方正仿宋_GBK" w:eastAsia="方正仿宋_GBK" w:cs="方正仿宋_GBK"/>
          <w:b w:val="0"/>
          <w:bCs w:val="0"/>
          <w:color w:val="auto"/>
          <w:sz w:val="32"/>
          <w:szCs w:val="32"/>
          <w:u w:val="none" w:color="auto"/>
          <w:lang w:eastAsia="zh-CN"/>
        </w:rPr>
      </w:pPr>
    </w:p>
    <w:p w14:paraId="38C53B67">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jc w:val="both"/>
        <w:textAlignment w:val="auto"/>
        <w:outlineLvl w:val="9"/>
        <w:rPr>
          <w:rFonts w:hint="eastAsia" w:ascii="方正仿宋_GBK" w:hAnsi="方正仿宋_GBK" w:eastAsia="方正仿宋_GBK" w:cs="方正仿宋_GBK"/>
          <w:b w:val="0"/>
          <w:bCs w:val="0"/>
          <w:color w:val="auto"/>
          <w:sz w:val="32"/>
          <w:szCs w:val="32"/>
          <w:u w:val="none" w:color="auto"/>
          <w:lang w:eastAsia="zh-CN"/>
        </w:rPr>
      </w:pPr>
    </w:p>
    <w:p w14:paraId="7AD893EC">
      <w:pPr>
        <w:keepNext w:val="0"/>
        <w:keepLines w:val="0"/>
        <w:pageBreakBefore w:val="0"/>
        <w:widowControl w:val="0"/>
        <w:kinsoku/>
        <w:wordWrap/>
        <w:overflowPunct/>
        <w:topLinePunct w:val="0"/>
        <w:autoSpaceDE/>
        <w:autoSpaceDN/>
        <w:bidi w:val="0"/>
        <w:adjustRightInd/>
        <w:snapToGrid/>
        <w:spacing w:line="600" w:lineRule="exact"/>
        <w:ind w:left="0" w:leftChars="0" w:right="630" w:rightChars="300"/>
        <w:jc w:val="right"/>
        <w:textAlignment w:val="auto"/>
        <w:outlineLvl w:val="9"/>
        <w:rPr>
          <w:rFonts w:hint="eastAsia" w:ascii="方正仿宋_GBK" w:hAnsi="方正仿宋_GBK" w:eastAsia="方正仿宋_GBK" w:cs="方正仿宋_GBK"/>
          <w:b w:val="0"/>
          <w:bCs w:val="0"/>
          <w:color w:val="auto"/>
          <w:sz w:val="32"/>
          <w:szCs w:val="32"/>
          <w:u w:val="none" w:color="auto"/>
          <w:lang w:eastAsia="zh-CN"/>
        </w:rPr>
      </w:pPr>
      <w:r>
        <w:rPr>
          <w:rFonts w:hint="eastAsia" w:ascii="方正仿宋_GBK" w:hAnsi="方正仿宋_GBK" w:eastAsia="方正仿宋_GBK" w:cs="方正仿宋_GBK"/>
          <w:b w:val="0"/>
          <w:bCs w:val="0"/>
          <w:color w:val="auto"/>
          <w:sz w:val="32"/>
          <w:szCs w:val="32"/>
          <w:u w:val="none" w:color="auto"/>
          <w:lang w:eastAsia="zh-CN"/>
        </w:rPr>
        <w:t>亳州市人民政府办公室</w:t>
      </w:r>
    </w:p>
    <w:p w14:paraId="2D57B195">
      <w:pPr>
        <w:keepNext w:val="0"/>
        <w:keepLines w:val="0"/>
        <w:pageBreakBefore w:val="0"/>
        <w:widowControl w:val="0"/>
        <w:kinsoku/>
        <w:wordWrap/>
        <w:overflowPunct/>
        <w:topLinePunct w:val="0"/>
        <w:autoSpaceDE/>
        <w:autoSpaceDN/>
        <w:bidi w:val="0"/>
        <w:adjustRightInd/>
        <w:snapToGrid/>
        <w:spacing w:afterAutospacing="0" w:line="590" w:lineRule="exact"/>
        <w:ind w:right="754" w:rightChars="359" w:firstLine="640" w:firstLineChars="200"/>
        <w:jc w:val="righ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bCs w:val="0"/>
          <w:color w:val="auto"/>
          <w:sz w:val="32"/>
          <w:szCs w:val="32"/>
          <w:u w:val="none" w:color="auto"/>
          <w:lang w:val="en-US" w:eastAsia="zh-CN"/>
        </w:rPr>
        <w:t>2022年2月</w:t>
      </w:r>
      <w:r>
        <w:rPr>
          <w:rFonts w:hint="eastAsia" w:ascii="Times New Roman" w:hAnsi="Times New Roman" w:eastAsia="方正仿宋_GBK" w:cs="Times New Roman"/>
          <w:b w:val="0"/>
          <w:bCs w:val="0"/>
          <w:color w:val="auto"/>
          <w:sz w:val="32"/>
          <w:szCs w:val="32"/>
          <w:u w:val="none" w:color="auto"/>
          <w:lang w:val="en-US" w:eastAsia="zh-CN"/>
        </w:rPr>
        <w:t>17</w:t>
      </w:r>
      <w:r>
        <w:rPr>
          <w:rFonts w:hint="default" w:ascii="Times New Roman" w:hAnsi="Times New Roman" w:eastAsia="方正仿宋_GBK" w:cs="Times New Roman"/>
          <w:b w:val="0"/>
          <w:bCs w:val="0"/>
          <w:color w:val="auto"/>
          <w:sz w:val="32"/>
          <w:szCs w:val="32"/>
          <w:u w:val="none" w:color="auto"/>
          <w:lang w:val="en-US" w:eastAsia="zh-CN"/>
        </w:rPr>
        <w:t>日</w:t>
      </w:r>
      <w:r>
        <w:rPr>
          <w:rFonts w:hint="eastAsia" w:ascii="Times New Roman" w:hAnsi="Times New Roman" w:eastAsia="方正仿宋_GBK" w:cs="Times New Roman"/>
          <w:b w:val="0"/>
          <w:bCs w:val="0"/>
          <w:color w:val="auto"/>
          <w:sz w:val="32"/>
          <w:szCs w:val="32"/>
          <w:u w:val="none" w:color="auto"/>
          <w:lang w:val="en-US" w:eastAsia="zh-CN"/>
        </w:rPr>
        <w:t xml:space="preserve">  </w:t>
      </w:r>
      <w:r>
        <w:rPr>
          <w:rFonts w:hint="default" w:ascii="Times New Roman" w:hAnsi="Times New Roman" w:eastAsia="方正仿宋_GBK" w:cs="Times New Roman"/>
          <w:color w:val="222222"/>
          <w:kern w:val="0"/>
          <w:sz w:val="32"/>
          <w:szCs w:val="32"/>
          <w:highlight w:val="none"/>
          <w:lang w:val="en-US" w:eastAsia="zh-CN"/>
        </w:rPr>
        <w:t xml:space="preserve"> </w:t>
      </w:r>
    </w:p>
    <w:p w14:paraId="60577212">
      <w:pPr>
        <w:keepNext w:val="0"/>
        <w:keepLines w:val="0"/>
        <w:pageBreakBefore w:val="0"/>
        <w:widowControl w:val="0"/>
        <w:kinsoku/>
        <w:wordWrap/>
        <w:overflowPunct/>
        <w:topLinePunct w:val="0"/>
        <w:autoSpaceDE/>
        <w:autoSpaceDN/>
        <w:bidi w:val="0"/>
        <w:adjustRightInd/>
        <w:snapToGrid/>
        <w:spacing w:afterAutospacing="0" w:line="590" w:lineRule="exact"/>
        <w:ind w:firstLine="640" w:firstLineChars="200"/>
        <w:jc w:val="both"/>
        <w:textAlignment w:val="auto"/>
        <w:rPr>
          <w:rFonts w:hint="eastAsia" w:ascii="Times New Roman" w:hAnsi="Times New Roman" w:eastAsia="方正仿宋_GBK" w:cs="Times New Roman"/>
          <w:sz w:val="32"/>
          <w:szCs w:val="32"/>
          <w:lang w:eastAsia="zh-CN"/>
        </w:rPr>
      </w:pPr>
      <w:r>
        <w:rPr>
          <w:rFonts w:hint="eastAsia" w:ascii="Times New Roman" w:hAnsi="Times New Roman" w:eastAsia="方正仿宋_GBK" w:cs="Times New Roman"/>
          <w:sz w:val="32"/>
          <w:szCs w:val="32"/>
          <w:lang w:eastAsia="zh-CN"/>
        </w:rPr>
        <w:t>（此件公开发布）</w:t>
      </w:r>
    </w:p>
    <w:p w14:paraId="2D28D231">
      <w:pPr>
        <w:keepNext w:val="0"/>
        <w:keepLines w:val="0"/>
        <w:pageBreakBefore w:val="0"/>
        <w:widowControl w:val="0"/>
        <w:kinsoku/>
        <w:wordWrap/>
        <w:overflowPunct/>
        <w:topLinePunct w:val="0"/>
        <w:autoSpaceDE/>
        <w:autoSpaceDN/>
        <w:bidi w:val="0"/>
        <w:adjustRightInd/>
        <w:snapToGrid/>
        <w:spacing w:afterAutospacing="0" w:line="590" w:lineRule="exact"/>
        <w:ind w:firstLine="640" w:firstLineChars="200"/>
        <w:jc w:val="both"/>
        <w:textAlignment w:val="auto"/>
        <w:rPr>
          <w:rFonts w:hint="eastAsia" w:ascii="Times New Roman" w:hAnsi="Times New Roman" w:eastAsia="方正仿宋_GBK" w:cs="Times New Roman"/>
          <w:sz w:val="32"/>
          <w:szCs w:val="32"/>
          <w:lang w:eastAsia="zh-CN"/>
        </w:rPr>
      </w:pPr>
    </w:p>
    <w:p w14:paraId="61159448">
      <w:pPr>
        <w:keepNext w:val="0"/>
        <w:keepLines w:val="0"/>
        <w:pageBreakBefore w:val="0"/>
        <w:widowControl w:val="0"/>
        <w:kinsoku/>
        <w:wordWrap/>
        <w:overflowPunct/>
        <w:topLinePunct w:val="0"/>
        <w:autoSpaceDE/>
        <w:autoSpaceDN/>
        <w:bidi w:val="0"/>
        <w:adjustRightInd/>
        <w:snapToGrid/>
        <w:spacing w:afterAutospacing="0" w:line="590" w:lineRule="exact"/>
        <w:ind w:firstLine="640" w:firstLineChars="200"/>
        <w:jc w:val="both"/>
        <w:textAlignment w:val="auto"/>
        <w:rPr>
          <w:rFonts w:hint="eastAsia" w:ascii="Times New Roman" w:hAnsi="Times New Roman" w:eastAsia="方正仿宋_GBK" w:cs="Times New Roman"/>
          <w:sz w:val="32"/>
          <w:szCs w:val="32"/>
          <w:lang w:eastAsia="zh-CN"/>
        </w:rPr>
      </w:pPr>
    </w:p>
    <w:p w14:paraId="30FC2589">
      <w:pPr>
        <w:keepNext w:val="0"/>
        <w:keepLines w:val="0"/>
        <w:pageBreakBefore w:val="0"/>
        <w:widowControl w:val="0"/>
        <w:kinsoku/>
        <w:wordWrap/>
        <w:overflowPunct/>
        <w:topLinePunct w:val="0"/>
        <w:autoSpaceDE/>
        <w:autoSpaceDN/>
        <w:bidi w:val="0"/>
        <w:adjustRightInd/>
        <w:snapToGrid/>
        <w:spacing w:afterAutospacing="0" w:line="590" w:lineRule="exact"/>
        <w:ind w:firstLine="640" w:firstLineChars="200"/>
        <w:jc w:val="both"/>
        <w:textAlignment w:val="auto"/>
        <w:rPr>
          <w:rFonts w:hint="eastAsia" w:ascii="Times New Roman" w:hAnsi="Times New Roman" w:eastAsia="方正仿宋_GBK" w:cs="Times New Roman"/>
          <w:sz w:val="32"/>
          <w:szCs w:val="32"/>
          <w:lang w:eastAsia="zh-CN"/>
        </w:rPr>
      </w:pPr>
    </w:p>
    <w:p w14:paraId="7933E739">
      <w:pPr>
        <w:keepNext w:val="0"/>
        <w:keepLines w:val="0"/>
        <w:pageBreakBefore w:val="0"/>
        <w:widowControl w:val="0"/>
        <w:kinsoku/>
        <w:wordWrap/>
        <w:overflowPunct/>
        <w:topLinePunct w:val="0"/>
        <w:autoSpaceDE/>
        <w:autoSpaceDN/>
        <w:bidi w:val="0"/>
        <w:adjustRightInd/>
        <w:snapToGrid/>
        <w:spacing w:afterAutospacing="0" w:line="590" w:lineRule="exact"/>
        <w:ind w:firstLine="640" w:firstLineChars="200"/>
        <w:jc w:val="both"/>
        <w:textAlignment w:val="auto"/>
        <w:rPr>
          <w:rFonts w:hint="eastAsia" w:ascii="Times New Roman" w:hAnsi="Times New Roman" w:eastAsia="方正仿宋_GBK" w:cs="Times New Roman"/>
          <w:sz w:val="32"/>
          <w:szCs w:val="32"/>
          <w:lang w:eastAsia="zh-CN"/>
        </w:rPr>
      </w:pPr>
    </w:p>
    <w:p w14:paraId="550F278C">
      <w:pPr>
        <w:keepNext w:val="0"/>
        <w:keepLines w:val="0"/>
        <w:pageBreakBefore w:val="0"/>
        <w:widowControl w:val="0"/>
        <w:kinsoku/>
        <w:wordWrap/>
        <w:overflowPunct/>
        <w:topLinePunct w:val="0"/>
        <w:autoSpaceDE/>
        <w:autoSpaceDN/>
        <w:bidi w:val="0"/>
        <w:adjustRightInd/>
        <w:snapToGrid/>
        <w:spacing w:afterAutospacing="0" w:line="590" w:lineRule="exact"/>
        <w:ind w:firstLine="640" w:firstLineChars="200"/>
        <w:jc w:val="both"/>
        <w:textAlignment w:val="auto"/>
        <w:rPr>
          <w:rFonts w:hint="eastAsia" w:ascii="Times New Roman" w:hAnsi="Times New Roman" w:eastAsia="方正仿宋_GBK" w:cs="Times New Roman"/>
          <w:sz w:val="32"/>
          <w:szCs w:val="32"/>
          <w:lang w:eastAsia="zh-CN"/>
        </w:rPr>
      </w:pPr>
    </w:p>
    <w:p w14:paraId="539E4A28">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auto"/>
        <w:outlineLvl w:val="0"/>
        <w:rPr>
          <w:rFonts w:hint="eastAsia" w:ascii="方正小标宋简体" w:hAnsi="方正小标宋简体" w:eastAsia="方正小标宋简体" w:cs="方正小标宋简体"/>
          <w:color w:val="auto"/>
          <w:sz w:val="44"/>
          <w:szCs w:val="44"/>
          <w:u w:val="none" w:color="auto"/>
          <w:lang w:eastAsia="zh-CN"/>
        </w:rPr>
      </w:pPr>
    </w:p>
    <w:p w14:paraId="67FAC732">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auto"/>
        <w:outlineLvl w:val="0"/>
        <w:rPr>
          <w:rFonts w:hint="eastAsia" w:ascii="方正小标宋_GBK" w:hAnsi="方正小标宋_GBK" w:eastAsia="方正小标宋_GBK" w:cs="方正小标宋_GBK"/>
          <w:color w:val="auto"/>
          <w:sz w:val="44"/>
          <w:szCs w:val="44"/>
          <w:u w:val="none" w:color="auto"/>
          <w:lang w:eastAsia="zh-CN"/>
        </w:rPr>
      </w:pPr>
      <w:r>
        <w:rPr>
          <w:rFonts w:hint="eastAsia" w:ascii="方正小标宋_GBK" w:hAnsi="方正小标宋_GBK" w:eastAsia="方正小标宋_GBK" w:cs="方正小标宋_GBK"/>
          <w:color w:val="auto"/>
          <w:sz w:val="44"/>
          <w:szCs w:val="44"/>
          <w:u w:val="none" w:color="auto"/>
          <w:lang w:eastAsia="zh-CN"/>
        </w:rPr>
        <w:t>亳州市工业企业“扶优育规”</w:t>
      </w:r>
    </w:p>
    <w:p w14:paraId="2EF14450">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auto"/>
        <w:outlineLvl w:val="0"/>
        <w:rPr>
          <w:rFonts w:hint="eastAsia" w:ascii="方正小标宋_GBK" w:hAnsi="方正小标宋_GBK" w:eastAsia="方正小标宋_GBK" w:cs="方正小标宋_GBK"/>
          <w:color w:val="auto"/>
          <w:sz w:val="44"/>
          <w:szCs w:val="44"/>
          <w:u w:val="none" w:color="auto"/>
          <w:lang w:eastAsia="zh-CN"/>
        </w:rPr>
      </w:pPr>
      <w:r>
        <w:rPr>
          <w:rFonts w:hint="eastAsia" w:ascii="方正小标宋_GBK" w:hAnsi="方正小标宋_GBK" w:eastAsia="方正小标宋_GBK" w:cs="方正小标宋_GBK"/>
          <w:color w:val="auto"/>
          <w:sz w:val="44"/>
          <w:szCs w:val="44"/>
          <w:u w:val="none" w:color="auto"/>
          <w:lang w:eastAsia="zh-CN"/>
        </w:rPr>
        <w:t>工程实施方案</w:t>
      </w:r>
    </w:p>
    <w:p w14:paraId="324C7345">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Times New Roman" w:hAnsi="Times New Roman" w:eastAsia="方正仿宋_GBK" w:cs="Times New Roman"/>
          <w:color w:val="auto"/>
          <w:sz w:val="32"/>
          <w:szCs w:val="32"/>
          <w:u w:val="none" w:color="auto"/>
          <w:lang w:eastAsia="zh-CN"/>
        </w:rPr>
      </w:pPr>
    </w:p>
    <w:p w14:paraId="47ACC20E">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Times New Roman" w:hAnsi="Times New Roman" w:eastAsia="方正仿宋_GBK" w:cs="Times New Roman"/>
          <w:color w:val="auto"/>
          <w:sz w:val="32"/>
          <w:szCs w:val="32"/>
          <w:u w:val="none" w:color="auto"/>
          <w:lang w:val="en-US" w:eastAsia="zh-CN"/>
        </w:rPr>
      </w:pPr>
      <w:r>
        <w:rPr>
          <w:rFonts w:hint="default" w:ascii="Times New Roman" w:hAnsi="Times New Roman" w:eastAsia="方正仿宋_GBK" w:cs="Times New Roman"/>
          <w:color w:val="auto"/>
          <w:sz w:val="32"/>
          <w:szCs w:val="32"/>
          <w:u w:val="none" w:color="auto"/>
          <w:lang w:val="en-US" w:eastAsia="zh-CN"/>
        </w:rPr>
        <w:t>为加快推进我市制造业实现五年倍增目标，决定在全市实施工业企业</w:t>
      </w:r>
      <w:r>
        <w:rPr>
          <w:rFonts w:hint="eastAsia" w:eastAsia="方正仿宋_GBK" w:cs="Times New Roman"/>
          <w:color w:val="auto"/>
          <w:sz w:val="32"/>
          <w:szCs w:val="32"/>
          <w:u w:val="none" w:color="auto"/>
          <w:lang w:val="en-US" w:eastAsia="zh-CN"/>
        </w:rPr>
        <w:t>“</w:t>
      </w:r>
      <w:r>
        <w:rPr>
          <w:rFonts w:hint="default" w:ascii="Times New Roman" w:hAnsi="Times New Roman" w:eastAsia="方正仿宋_GBK" w:cs="Times New Roman"/>
          <w:color w:val="auto"/>
          <w:sz w:val="32"/>
          <w:szCs w:val="32"/>
          <w:u w:val="none" w:color="auto"/>
          <w:lang w:val="en-US" w:eastAsia="zh-CN"/>
        </w:rPr>
        <w:t>扶优育规</w:t>
      </w:r>
      <w:r>
        <w:rPr>
          <w:rFonts w:hint="eastAsia" w:eastAsia="方正仿宋_GBK" w:cs="Times New Roman"/>
          <w:color w:val="auto"/>
          <w:sz w:val="32"/>
          <w:szCs w:val="32"/>
          <w:u w:val="none" w:color="auto"/>
          <w:lang w:val="en-US" w:eastAsia="zh-CN"/>
        </w:rPr>
        <w:t>”</w:t>
      </w:r>
      <w:r>
        <w:rPr>
          <w:rFonts w:hint="default" w:ascii="Times New Roman" w:hAnsi="Times New Roman" w:eastAsia="方正仿宋_GBK" w:cs="Times New Roman"/>
          <w:color w:val="auto"/>
          <w:sz w:val="32"/>
          <w:szCs w:val="32"/>
          <w:u w:val="none" w:color="auto"/>
          <w:lang w:val="en-US" w:eastAsia="zh-CN"/>
        </w:rPr>
        <w:t>工程，特制定本实施方案。</w:t>
      </w:r>
    </w:p>
    <w:p w14:paraId="671CE364">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outlineLvl w:val="0"/>
        <w:rPr>
          <w:rFonts w:hint="eastAsia" w:ascii="方正黑体_GBK" w:hAnsi="方正黑体_GBK" w:eastAsia="方正黑体_GBK" w:cs="方正黑体_GBK"/>
          <w:color w:val="auto"/>
          <w:sz w:val="32"/>
          <w:szCs w:val="32"/>
          <w:u w:val="none" w:color="auto"/>
          <w:lang w:val="en-US" w:eastAsia="zh-CN"/>
        </w:rPr>
      </w:pPr>
      <w:r>
        <w:rPr>
          <w:rFonts w:hint="eastAsia" w:ascii="方正黑体_GBK" w:hAnsi="方正黑体_GBK" w:eastAsia="方正黑体_GBK" w:cs="方正黑体_GBK"/>
          <w:color w:val="auto"/>
          <w:sz w:val="32"/>
          <w:szCs w:val="32"/>
          <w:u w:val="none" w:color="auto"/>
          <w:lang w:val="en-US" w:eastAsia="zh-CN"/>
        </w:rPr>
        <w:t>一、总体要求</w:t>
      </w:r>
    </w:p>
    <w:p w14:paraId="5888D25A">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outlineLvl w:val="0"/>
        <w:rPr>
          <w:rFonts w:hint="default" w:ascii="Times New Roman" w:hAnsi="Times New Roman" w:eastAsia="方正仿宋_GBK" w:cs="Times New Roman"/>
          <w:color w:val="auto"/>
          <w:sz w:val="32"/>
          <w:szCs w:val="32"/>
          <w:u w:val="none" w:color="auto"/>
          <w:lang w:val="en-US" w:eastAsia="zh-CN"/>
        </w:rPr>
      </w:pPr>
      <w:r>
        <w:rPr>
          <w:rFonts w:hint="default" w:ascii="Times New Roman" w:hAnsi="Times New Roman" w:eastAsia="方正仿宋_GBK" w:cs="Times New Roman"/>
          <w:color w:val="auto"/>
          <w:sz w:val="32"/>
          <w:szCs w:val="32"/>
          <w:u w:val="none" w:color="auto"/>
          <w:lang w:val="en-US" w:eastAsia="zh-CN"/>
        </w:rPr>
        <w:t>以习近平新时代中国特色社会主义思想为指导，全面贯彻落实党的十九大和十九届历次全会精神，</w:t>
      </w:r>
      <w:r>
        <w:rPr>
          <w:rFonts w:hint="eastAsia" w:eastAsia="方正仿宋_GBK" w:cs="Times New Roman"/>
          <w:color w:val="auto"/>
          <w:sz w:val="32"/>
          <w:szCs w:val="32"/>
          <w:u w:val="none" w:color="auto"/>
          <w:lang w:val="en-US" w:eastAsia="zh-CN"/>
        </w:rPr>
        <w:t>坚决</w:t>
      </w:r>
      <w:r>
        <w:rPr>
          <w:rFonts w:hint="default" w:ascii="Times New Roman" w:hAnsi="Times New Roman" w:eastAsia="方正仿宋_GBK" w:cs="Times New Roman"/>
          <w:color w:val="auto"/>
          <w:sz w:val="32"/>
          <w:szCs w:val="32"/>
          <w:u w:val="none" w:color="auto"/>
          <w:lang w:val="en-US" w:eastAsia="zh-CN"/>
        </w:rPr>
        <w:t>落实习近平总书记</w:t>
      </w:r>
      <w:r>
        <w:rPr>
          <w:rFonts w:hint="eastAsia" w:eastAsia="方正仿宋_GBK" w:cs="Times New Roman"/>
          <w:color w:val="auto"/>
          <w:sz w:val="32"/>
          <w:szCs w:val="32"/>
          <w:u w:val="none" w:color="auto"/>
          <w:lang w:val="en-US" w:eastAsia="zh-CN"/>
        </w:rPr>
        <w:t>考察安徽</w:t>
      </w:r>
      <w:r>
        <w:rPr>
          <w:rFonts w:hint="default" w:ascii="Times New Roman" w:hAnsi="Times New Roman" w:eastAsia="方正仿宋_GBK" w:cs="Times New Roman"/>
          <w:color w:val="auto"/>
          <w:sz w:val="32"/>
          <w:szCs w:val="32"/>
          <w:u w:val="none" w:color="auto"/>
          <w:lang w:val="en-US" w:eastAsia="zh-CN"/>
        </w:rPr>
        <w:t>重要讲话指示</w:t>
      </w:r>
      <w:r>
        <w:rPr>
          <w:rFonts w:hint="eastAsia" w:eastAsia="方正仿宋_GBK" w:cs="Times New Roman"/>
          <w:color w:val="auto"/>
          <w:sz w:val="32"/>
          <w:szCs w:val="32"/>
          <w:u w:val="none" w:color="auto"/>
          <w:lang w:val="en-US" w:eastAsia="zh-CN"/>
        </w:rPr>
        <w:t>精神</w:t>
      </w:r>
      <w:r>
        <w:rPr>
          <w:rFonts w:hint="default" w:ascii="Times New Roman" w:hAnsi="Times New Roman" w:eastAsia="方正仿宋_GBK" w:cs="Times New Roman"/>
          <w:color w:val="auto"/>
          <w:sz w:val="32"/>
          <w:szCs w:val="32"/>
          <w:u w:val="none" w:color="auto"/>
          <w:lang w:val="en-US" w:eastAsia="zh-CN"/>
        </w:rPr>
        <w:t>，认真贯彻省第十一次党代会、市第五次党代会精神，全面实施</w:t>
      </w:r>
      <w:r>
        <w:rPr>
          <w:rFonts w:hint="eastAsia" w:eastAsia="方正仿宋_GBK" w:cs="Times New Roman"/>
          <w:color w:val="auto"/>
          <w:sz w:val="32"/>
          <w:szCs w:val="32"/>
          <w:u w:val="none" w:color="auto"/>
          <w:lang w:val="en-US" w:eastAsia="zh-CN"/>
        </w:rPr>
        <w:t>“</w:t>
      </w:r>
      <w:r>
        <w:rPr>
          <w:rFonts w:hint="default" w:ascii="Times New Roman" w:hAnsi="Times New Roman" w:eastAsia="方正仿宋_GBK" w:cs="Times New Roman"/>
          <w:color w:val="auto"/>
          <w:sz w:val="32"/>
          <w:szCs w:val="32"/>
          <w:u w:val="none" w:color="auto"/>
          <w:lang w:val="en-US" w:eastAsia="zh-CN"/>
        </w:rPr>
        <w:t>六一</w:t>
      </w:r>
      <w:r>
        <w:rPr>
          <w:rFonts w:hint="eastAsia" w:eastAsia="方正仿宋_GBK" w:cs="Times New Roman"/>
          <w:color w:val="auto"/>
          <w:sz w:val="32"/>
          <w:szCs w:val="32"/>
          <w:u w:val="none" w:color="auto"/>
          <w:lang w:val="en-US" w:eastAsia="zh-CN"/>
        </w:rPr>
        <w:t>”</w:t>
      </w:r>
      <w:r>
        <w:rPr>
          <w:rFonts w:hint="default" w:ascii="Times New Roman" w:hAnsi="Times New Roman" w:eastAsia="方正仿宋_GBK" w:cs="Times New Roman"/>
          <w:color w:val="auto"/>
          <w:sz w:val="32"/>
          <w:szCs w:val="32"/>
          <w:u w:val="none" w:color="auto"/>
          <w:lang w:val="en-US" w:eastAsia="zh-CN"/>
        </w:rPr>
        <w:t>战略，促进制造业提质扩量增效，为加快建设现代化美好亳州提供更加有力的支撑。</w:t>
      </w:r>
      <w:r>
        <w:rPr>
          <w:rFonts w:hint="default" w:ascii="Times New Roman" w:hAnsi="Times New Roman" w:eastAsia="方正仿宋_GBK" w:cs="Times New Roman"/>
          <w:color w:val="auto"/>
          <w:sz w:val="32"/>
          <w:szCs w:val="32"/>
          <w:u w:val="none" w:color="auto"/>
          <w:lang w:eastAsia="zh-CN"/>
        </w:rPr>
        <w:t>力争用</w:t>
      </w:r>
      <w:r>
        <w:rPr>
          <w:rFonts w:hint="default" w:ascii="Times New Roman" w:hAnsi="Times New Roman" w:eastAsia="方正仿宋_GBK" w:cs="Times New Roman"/>
          <w:color w:val="auto"/>
          <w:sz w:val="32"/>
          <w:szCs w:val="32"/>
          <w:u w:val="none" w:color="auto"/>
          <w:lang w:val="en-US" w:eastAsia="zh-CN"/>
        </w:rPr>
        <w:t>5年时间，</w:t>
      </w:r>
      <w:r>
        <w:rPr>
          <w:rFonts w:hint="default" w:ascii="Times New Roman" w:hAnsi="Times New Roman" w:eastAsia="方正仿宋_GBK" w:cs="Times New Roman"/>
          <w:color w:val="auto"/>
          <w:sz w:val="32"/>
          <w:szCs w:val="32"/>
          <w:u w:val="none" w:color="auto"/>
          <w:lang w:eastAsia="zh-CN"/>
        </w:rPr>
        <w:t>全市</w:t>
      </w:r>
      <w:r>
        <w:rPr>
          <w:rFonts w:hint="default" w:ascii="Times New Roman" w:hAnsi="Times New Roman" w:eastAsia="方正仿宋_GBK" w:cs="Times New Roman"/>
          <w:color w:val="auto"/>
          <w:sz w:val="32"/>
          <w:szCs w:val="32"/>
          <w:u w:val="none" w:color="auto"/>
        </w:rPr>
        <w:t>规模以上工业企业</w:t>
      </w:r>
      <w:r>
        <w:rPr>
          <w:rFonts w:hint="default" w:ascii="Times New Roman" w:hAnsi="Times New Roman" w:eastAsia="方正仿宋_GBK" w:cs="Times New Roman"/>
          <w:color w:val="auto"/>
          <w:sz w:val="32"/>
          <w:szCs w:val="32"/>
          <w:u w:val="none" w:color="auto"/>
          <w:lang w:eastAsia="zh-CN"/>
        </w:rPr>
        <w:t>达到</w:t>
      </w:r>
      <w:r>
        <w:rPr>
          <w:rFonts w:hint="default" w:ascii="Times New Roman" w:hAnsi="Times New Roman" w:eastAsia="方正仿宋_GBK" w:cs="Times New Roman"/>
          <w:color w:val="auto"/>
          <w:sz w:val="32"/>
          <w:szCs w:val="32"/>
          <w:u w:val="none" w:color="auto"/>
          <w:lang w:val="en-US" w:eastAsia="zh-CN"/>
        </w:rPr>
        <w:t>12</w:t>
      </w:r>
      <w:r>
        <w:rPr>
          <w:rFonts w:hint="default" w:ascii="Times New Roman" w:hAnsi="Times New Roman" w:eastAsia="方正仿宋_GBK" w:cs="Times New Roman"/>
          <w:color w:val="auto"/>
          <w:sz w:val="32"/>
          <w:szCs w:val="32"/>
          <w:u w:val="none" w:color="auto"/>
        </w:rPr>
        <w:t>00家以上,培育</w:t>
      </w:r>
      <w:r>
        <w:rPr>
          <w:rFonts w:hint="default" w:ascii="Times New Roman" w:hAnsi="Times New Roman" w:eastAsia="方正仿宋_GBK" w:cs="Times New Roman"/>
          <w:color w:val="auto"/>
          <w:sz w:val="32"/>
          <w:szCs w:val="32"/>
          <w:u w:val="none" w:color="auto"/>
          <w:lang w:eastAsia="zh-CN"/>
        </w:rPr>
        <w:t>营业收入超</w:t>
      </w:r>
      <w:r>
        <w:rPr>
          <w:rFonts w:hint="default" w:ascii="Times New Roman" w:hAnsi="Times New Roman" w:eastAsia="方正仿宋_GBK" w:cs="Times New Roman"/>
          <w:color w:val="auto"/>
          <w:sz w:val="32"/>
          <w:szCs w:val="32"/>
          <w:u w:val="none" w:color="auto"/>
          <w:lang w:val="en-US" w:eastAsia="zh-CN"/>
        </w:rPr>
        <w:t>200亿元工业企业1家，</w:t>
      </w:r>
      <w:r>
        <w:rPr>
          <w:rFonts w:hint="default" w:ascii="Times New Roman" w:hAnsi="Times New Roman" w:eastAsia="方正仿宋_GBK" w:cs="Times New Roman"/>
          <w:color w:val="auto"/>
          <w:sz w:val="32"/>
          <w:szCs w:val="32"/>
          <w:u w:val="none" w:color="auto"/>
          <w:lang w:eastAsia="zh-CN"/>
        </w:rPr>
        <w:t>超</w:t>
      </w:r>
      <w:r>
        <w:rPr>
          <w:rFonts w:hint="default" w:ascii="Times New Roman" w:hAnsi="Times New Roman" w:eastAsia="方正仿宋_GBK" w:cs="Times New Roman"/>
          <w:color w:val="auto"/>
          <w:sz w:val="32"/>
          <w:szCs w:val="32"/>
          <w:u w:val="none" w:color="auto"/>
          <w:lang w:val="en-US" w:eastAsia="zh-CN"/>
        </w:rPr>
        <w:t>100亿元工业企业2</w:t>
      </w:r>
      <w:r>
        <w:rPr>
          <w:rFonts w:hint="default" w:ascii="Arial" w:hAnsi="Arial" w:eastAsia="方正仿宋_GBK" w:cs="Arial"/>
          <w:color w:val="auto"/>
          <w:sz w:val="32"/>
          <w:szCs w:val="32"/>
          <w:u w:val="none" w:color="auto"/>
          <w:lang w:val="en-US" w:eastAsia="zh-CN"/>
        </w:rPr>
        <w:t>－</w:t>
      </w:r>
      <w:r>
        <w:rPr>
          <w:rFonts w:hint="default" w:ascii="Times New Roman" w:hAnsi="Times New Roman" w:eastAsia="方正仿宋_GBK" w:cs="Times New Roman"/>
          <w:color w:val="auto"/>
          <w:sz w:val="32"/>
          <w:szCs w:val="32"/>
          <w:u w:val="none" w:color="auto"/>
          <w:lang w:val="en-US" w:eastAsia="zh-CN"/>
        </w:rPr>
        <w:t>3家，超5亿元</w:t>
      </w:r>
      <w:r>
        <w:rPr>
          <w:rFonts w:hint="default" w:ascii="Arial" w:hAnsi="Arial" w:eastAsia="方正仿宋_GBK" w:cs="Arial"/>
          <w:color w:val="auto"/>
          <w:sz w:val="32"/>
          <w:szCs w:val="32"/>
          <w:u w:val="none" w:color="auto"/>
          <w:lang w:val="en-US" w:eastAsia="zh-CN"/>
        </w:rPr>
        <w:t>－</w:t>
      </w:r>
      <w:r>
        <w:rPr>
          <w:rFonts w:hint="default" w:ascii="Times New Roman" w:hAnsi="Times New Roman" w:eastAsia="方正仿宋_GBK" w:cs="Times New Roman"/>
          <w:color w:val="auto"/>
          <w:sz w:val="32"/>
          <w:szCs w:val="32"/>
          <w:u w:val="none" w:color="auto"/>
          <w:lang w:val="en-US" w:eastAsia="zh-CN"/>
        </w:rPr>
        <w:t>5</w:t>
      </w:r>
      <w:r>
        <w:rPr>
          <w:rFonts w:hint="default" w:ascii="Times New Roman" w:hAnsi="Times New Roman" w:eastAsia="方正仿宋_GBK" w:cs="Times New Roman"/>
          <w:color w:val="auto"/>
          <w:sz w:val="32"/>
          <w:szCs w:val="32"/>
          <w:u w:val="none" w:color="auto"/>
        </w:rPr>
        <w:t>0亿元工业企业</w:t>
      </w:r>
      <w:r>
        <w:rPr>
          <w:rFonts w:hint="default" w:ascii="Times New Roman" w:hAnsi="Times New Roman" w:eastAsia="方正仿宋_GBK" w:cs="Times New Roman"/>
          <w:color w:val="auto"/>
          <w:sz w:val="32"/>
          <w:szCs w:val="32"/>
          <w:u w:val="none" w:color="auto"/>
          <w:lang w:val="en-US" w:eastAsia="zh-CN"/>
        </w:rPr>
        <w:t>3</w:t>
      </w:r>
      <w:r>
        <w:rPr>
          <w:rFonts w:hint="default" w:ascii="Times New Roman" w:hAnsi="Times New Roman" w:eastAsia="方正仿宋_GBK" w:cs="Times New Roman"/>
          <w:color w:val="auto"/>
          <w:sz w:val="32"/>
          <w:szCs w:val="32"/>
          <w:u w:val="none" w:color="auto"/>
          <w:lang w:val="en-US"/>
        </w:rPr>
        <w:t>0</w:t>
      </w:r>
      <w:r>
        <w:rPr>
          <w:rFonts w:hint="default" w:ascii="Arial" w:hAnsi="Arial" w:eastAsia="方正仿宋_GBK" w:cs="Arial"/>
          <w:color w:val="auto"/>
          <w:sz w:val="32"/>
          <w:szCs w:val="32"/>
          <w:u w:val="none" w:color="auto"/>
          <w:lang w:val="en-US" w:eastAsia="zh-CN"/>
        </w:rPr>
        <w:t>－</w:t>
      </w:r>
      <w:r>
        <w:rPr>
          <w:rFonts w:hint="default" w:ascii="Times New Roman" w:hAnsi="Times New Roman" w:eastAsia="方正仿宋_GBK" w:cs="Times New Roman"/>
          <w:color w:val="auto"/>
          <w:sz w:val="32"/>
          <w:szCs w:val="32"/>
          <w:u w:val="none" w:color="auto"/>
          <w:lang w:val="en-US" w:eastAsia="zh-CN"/>
        </w:rPr>
        <w:t>50家，超亿元工业企业达到400家</w:t>
      </w:r>
      <w:r>
        <w:rPr>
          <w:rFonts w:hint="default" w:ascii="Times New Roman" w:hAnsi="Times New Roman" w:eastAsia="方正仿宋_GBK" w:cs="Times New Roman"/>
          <w:color w:val="auto"/>
          <w:sz w:val="32"/>
          <w:szCs w:val="32"/>
          <w:u w:val="none" w:color="auto"/>
        </w:rPr>
        <w:t>。</w:t>
      </w:r>
      <w:r>
        <w:rPr>
          <w:rFonts w:hint="default" w:ascii="Times New Roman" w:hAnsi="Times New Roman" w:eastAsia="方正仿宋_GBK" w:cs="Times New Roman"/>
          <w:color w:val="auto"/>
          <w:sz w:val="32"/>
          <w:szCs w:val="32"/>
          <w:u w:val="none" w:color="auto"/>
          <w:lang w:eastAsia="zh-CN"/>
        </w:rPr>
        <w:t>力争我市制造业营业收入、增加值实现五年倍增，</w:t>
      </w:r>
      <w:r>
        <w:rPr>
          <w:rFonts w:hint="default" w:ascii="Times New Roman" w:hAnsi="Times New Roman" w:eastAsia="方正仿宋_GBK" w:cs="Times New Roman"/>
          <w:color w:val="auto"/>
          <w:sz w:val="32"/>
          <w:szCs w:val="32"/>
          <w:u w:val="none" w:color="auto"/>
          <w:lang w:val="en-US" w:eastAsia="zh-CN"/>
        </w:rPr>
        <w:t>2026年制造业增加值占GDP的比重超过27%。</w:t>
      </w:r>
    </w:p>
    <w:p w14:paraId="171BB0D1">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outlineLvl w:val="0"/>
        <w:rPr>
          <w:rFonts w:hint="eastAsia" w:ascii="方正黑体_GBK" w:hAnsi="方正黑体_GBK" w:eastAsia="方正黑体_GBK" w:cs="方正黑体_GBK"/>
          <w:color w:val="auto"/>
          <w:sz w:val="32"/>
          <w:szCs w:val="32"/>
          <w:u w:val="none" w:color="auto"/>
          <w:lang w:val="en-US" w:eastAsia="zh-CN"/>
        </w:rPr>
      </w:pPr>
      <w:r>
        <w:rPr>
          <w:rFonts w:hint="eastAsia" w:ascii="方正黑体_GBK" w:hAnsi="方正黑体_GBK" w:eastAsia="方正黑体_GBK" w:cs="方正黑体_GBK"/>
          <w:color w:val="auto"/>
          <w:sz w:val="32"/>
          <w:szCs w:val="32"/>
          <w:u w:val="none" w:color="auto"/>
          <w:lang w:val="en-US" w:eastAsia="zh-CN"/>
        </w:rPr>
        <w:t>二、扶育任务</w:t>
      </w:r>
    </w:p>
    <w:p w14:paraId="6A2B3C2E">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Times New Roman" w:hAnsi="Times New Roman" w:eastAsia="方正仿宋_GBK" w:cs="Times New Roman"/>
          <w:color w:val="auto"/>
          <w:sz w:val="32"/>
          <w:szCs w:val="32"/>
          <w:u w:val="none" w:color="auto"/>
          <w:lang w:val="en-US" w:eastAsia="zh-CN"/>
        </w:rPr>
      </w:pPr>
      <w:r>
        <w:rPr>
          <w:rFonts w:hint="eastAsia" w:ascii="方正楷体_GBK" w:hAnsi="方正楷体_GBK" w:eastAsia="方正楷体_GBK" w:cs="方正楷体_GBK"/>
          <w:b w:val="0"/>
          <w:bCs w:val="0"/>
          <w:color w:val="auto"/>
          <w:sz w:val="32"/>
          <w:szCs w:val="32"/>
          <w:u w:val="none" w:color="auto"/>
          <w:lang w:val="en-US" w:eastAsia="zh-CN"/>
        </w:rPr>
        <w:t>（一）培育规模企业。</w:t>
      </w:r>
      <w:r>
        <w:rPr>
          <w:rFonts w:hint="default" w:ascii="Times New Roman" w:hAnsi="Times New Roman" w:eastAsia="方正仿宋_GBK" w:cs="Times New Roman"/>
          <w:color w:val="auto"/>
          <w:sz w:val="32"/>
          <w:szCs w:val="32"/>
          <w:u w:val="none" w:color="auto"/>
          <w:lang w:val="en-US" w:eastAsia="zh-CN"/>
        </w:rPr>
        <w:t>每年将临近入规工业企业和高成长性工业企业列入扶优育规企业项目库并定期更新，及时准确评估规模以下工业企业生产经营规模，跟踪监测扶优育规项目库企业和已落地即将投产的招商引资项目，协调帮助企业开拓市场、扩大销量，促进企业加快成长入统。</w:t>
      </w:r>
    </w:p>
    <w:p w14:paraId="108D2103">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Times New Roman" w:hAnsi="Times New Roman" w:eastAsia="方正仿宋_GBK" w:cs="Times New Roman"/>
          <w:color w:val="auto"/>
          <w:sz w:val="32"/>
          <w:szCs w:val="32"/>
          <w:u w:val="none" w:color="auto"/>
          <w:lang w:val="en-US" w:eastAsia="zh-CN"/>
        </w:rPr>
      </w:pPr>
      <w:r>
        <w:rPr>
          <w:rFonts w:hint="default" w:ascii="方正楷体_GBK" w:hAnsi="方正楷体_GBK" w:eastAsia="方正楷体_GBK" w:cs="方正楷体_GBK"/>
          <w:b w:val="0"/>
          <w:bCs w:val="0"/>
          <w:color w:val="auto"/>
          <w:sz w:val="32"/>
          <w:szCs w:val="32"/>
          <w:u w:val="none" w:color="auto"/>
          <w:lang w:val="en-US" w:eastAsia="zh-CN"/>
        </w:rPr>
        <w:t>（二）力保临退企业。</w:t>
      </w:r>
      <w:r>
        <w:rPr>
          <w:rFonts w:hint="default" w:ascii="Times New Roman" w:hAnsi="Times New Roman" w:eastAsia="方正仿宋_GBK" w:cs="Times New Roman"/>
          <w:strike w:val="0"/>
          <w:dstrike w:val="0"/>
          <w:color w:val="auto"/>
          <w:sz w:val="32"/>
          <w:szCs w:val="32"/>
          <w:u w:val="none" w:color="auto"/>
          <w:lang w:val="en-US" w:eastAsia="zh-CN"/>
        </w:rPr>
        <w:t>将上年度营业收入</w:t>
      </w:r>
      <w:r>
        <w:rPr>
          <w:rFonts w:hint="default" w:ascii="Times New Roman" w:hAnsi="Times New Roman" w:eastAsia="方正仿宋_GBK" w:cs="Times New Roman"/>
          <w:strike w:val="0"/>
          <w:dstrike w:val="0"/>
          <w:color w:val="auto"/>
          <w:sz w:val="32"/>
          <w:szCs w:val="32"/>
          <w:highlight w:val="none"/>
          <w:u w:val="none" w:color="auto"/>
          <w:lang w:val="en-US" w:eastAsia="zh-CN"/>
        </w:rPr>
        <w:t>临近退规的工业企业纳入</w:t>
      </w:r>
      <w:r>
        <w:rPr>
          <w:rFonts w:hint="eastAsia" w:eastAsia="方正仿宋_GBK" w:cs="Times New Roman"/>
          <w:strike w:val="0"/>
          <w:dstrike w:val="0"/>
          <w:color w:val="auto"/>
          <w:sz w:val="32"/>
          <w:szCs w:val="32"/>
          <w:highlight w:val="none"/>
          <w:u w:val="none" w:color="auto"/>
          <w:lang w:val="en-US" w:eastAsia="zh-CN"/>
        </w:rPr>
        <w:t>“</w:t>
      </w:r>
      <w:r>
        <w:rPr>
          <w:rFonts w:hint="default" w:ascii="Times New Roman" w:hAnsi="Times New Roman" w:eastAsia="方正仿宋_GBK" w:cs="Times New Roman"/>
          <w:strike w:val="0"/>
          <w:dstrike w:val="0"/>
          <w:color w:val="auto"/>
          <w:sz w:val="32"/>
          <w:szCs w:val="32"/>
          <w:highlight w:val="none"/>
          <w:u w:val="none" w:color="auto"/>
          <w:lang w:val="en-US" w:eastAsia="zh-CN"/>
        </w:rPr>
        <w:t>临退</w:t>
      </w:r>
      <w:r>
        <w:rPr>
          <w:rFonts w:hint="eastAsia" w:eastAsia="方正仿宋_GBK" w:cs="Times New Roman"/>
          <w:strike w:val="0"/>
          <w:dstrike w:val="0"/>
          <w:color w:val="auto"/>
          <w:sz w:val="32"/>
          <w:szCs w:val="32"/>
          <w:highlight w:val="none"/>
          <w:u w:val="none" w:color="auto"/>
          <w:lang w:val="en-US" w:eastAsia="zh-CN"/>
        </w:rPr>
        <w:t>”</w:t>
      </w:r>
      <w:r>
        <w:rPr>
          <w:rFonts w:hint="default" w:ascii="Times New Roman" w:hAnsi="Times New Roman" w:eastAsia="方正仿宋_GBK" w:cs="Times New Roman"/>
          <w:strike w:val="0"/>
          <w:dstrike w:val="0"/>
          <w:color w:val="auto"/>
          <w:sz w:val="32"/>
          <w:szCs w:val="32"/>
          <w:highlight w:val="none"/>
          <w:u w:val="none" w:color="auto"/>
          <w:lang w:val="en-US" w:eastAsia="zh-CN"/>
        </w:rPr>
        <w:t>企业，</w:t>
      </w:r>
      <w:r>
        <w:rPr>
          <w:rFonts w:hint="default" w:ascii="Times New Roman" w:hAnsi="Times New Roman" w:eastAsia="方正仿宋_GBK" w:cs="Times New Roman"/>
          <w:color w:val="auto"/>
          <w:sz w:val="32"/>
          <w:szCs w:val="32"/>
          <w:u w:val="none" w:color="auto"/>
          <w:lang w:val="en-US" w:eastAsia="zh-CN"/>
        </w:rPr>
        <w:t>全面分析企业近三年指标变化及发展趋势，对生产困难、指标下滑，特别是当年预计营业收入跌破2000万元，以及停产半停产且存在退规风险的企业，采取一企一策，靶向施策，力争保留在规模以上企业行列。</w:t>
      </w:r>
    </w:p>
    <w:p w14:paraId="44A08A31">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Times New Roman" w:hAnsi="Times New Roman" w:eastAsia="方正仿宋_GBK" w:cs="Times New Roman"/>
          <w:color w:val="auto"/>
          <w:sz w:val="32"/>
          <w:szCs w:val="32"/>
          <w:u w:val="none" w:color="auto"/>
          <w:lang w:val="en-US" w:eastAsia="zh-CN"/>
        </w:rPr>
      </w:pPr>
      <w:r>
        <w:rPr>
          <w:rFonts w:hint="default" w:ascii="方正楷体_GBK" w:hAnsi="方正楷体_GBK" w:eastAsia="方正楷体_GBK" w:cs="方正楷体_GBK"/>
          <w:b w:val="0"/>
          <w:bCs w:val="0"/>
          <w:color w:val="auto"/>
          <w:sz w:val="32"/>
          <w:szCs w:val="32"/>
          <w:u w:val="none" w:color="auto"/>
          <w:lang w:val="en-US" w:eastAsia="zh-CN"/>
        </w:rPr>
        <w:t>（三）帮扶退规企业。</w:t>
      </w:r>
      <w:r>
        <w:rPr>
          <w:rFonts w:hint="default" w:ascii="Times New Roman" w:hAnsi="Times New Roman" w:eastAsia="方正仿宋_GBK" w:cs="Times New Roman"/>
          <w:color w:val="auto"/>
          <w:sz w:val="32"/>
          <w:szCs w:val="32"/>
          <w:u w:val="none" w:color="auto"/>
          <w:lang w:val="en-US" w:eastAsia="zh-CN"/>
        </w:rPr>
        <w:t>将近两年退出规模以上企业库的工业企业纳入监测帮扶范围。对市场需求回暖且生产经营好转的企业，帮助加大市场开拓力度，促进企业营业收入实现增长；对经营困难的企业，引导企业通过产品升级转型、兼并重组等方式，激活存量，增加收入，力争企业重新回到规模以上企业行列。</w:t>
      </w:r>
    </w:p>
    <w:p w14:paraId="1D749B95">
      <w:pPr>
        <w:keepNext w:val="0"/>
        <w:keepLines w:val="0"/>
        <w:pageBreakBefore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Times New Roman" w:hAnsi="Times New Roman" w:eastAsia="方正仿宋_GBK" w:cs="Times New Roman"/>
          <w:color w:val="auto"/>
          <w:sz w:val="32"/>
          <w:szCs w:val="32"/>
          <w:u w:val="none" w:color="auto"/>
          <w:lang w:val="en-US" w:eastAsia="zh-CN"/>
        </w:rPr>
      </w:pPr>
      <w:r>
        <w:rPr>
          <w:rFonts w:hint="default" w:ascii="方正楷体_GBK" w:hAnsi="方正楷体_GBK" w:eastAsia="方正楷体_GBK" w:cs="方正楷体_GBK"/>
          <w:b w:val="0"/>
          <w:bCs w:val="0"/>
          <w:color w:val="auto"/>
          <w:sz w:val="32"/>
          <w:szCs w:val="32"/>
          <w:u w:val="none" w:color="auto"/>
          <w:lang w:val="en-US" w:eastAsia="zh-CN"/>
        </w:rPr>
        <w:t>（四）壮大优势企业。</w:t>
      </w:r>
      <w:r>
        <w:rPr>
          <w:rFonts w:hint="default" w:ascii="Times New Roman" w:hAnsi="Times New Roman" w:eastAsia="方正仿宋_GBK" w:cs="Times New Roman"/>
          <w:color w:val="auto"/>
          <w:sz w:val="32"/>
          <w:szCs w:val="32"/>
          <w:u w:val="none" w:color="auto"/>
          <w:lang w:val="en-US" w:eastAsia="zh-CN"/>
        </w:rPr>
        <w:t>坚决贯彻</w:t>
      </w:r>
      <w:r>
        <w:rPr>
          <w:rFonts w:hint="eastAsia" w:eastAsia="方正仿宋_GBK" w:cs="Times New Roman"/>
          <w:color w:val="auto"/>
          <w:sz w:val="32"/>
          <w:szCs w:val="32"/>
          <w:u w:val="none" w:color="auto"/>
          <w:lang w:val="en-US" w:eastAsia="zh-CN"/>
        </w:rPr>
        <w:t>“</w:t>
      </w:r>
      <w:r>
        <w:rPr>
          <w:rFonts w:hint="default" w:ascii="Times New Roman" w:hAnsi="Times New Roman" w:eastAsia="方正仿宋_GBK" w:cs="Times New Roman"/>
          <w:color w:val="auto"/>
          <w:sz w:val="32"/>
          <w:szCs w:val="32"/>
          <w:u w:val="none" w:color="auto"/>
          <w:lang w:val="en-US" w:eastAsia="zh-CN"/>
        </w:rPr>
        <w:t>六一</w:t>
      </w:r>
      <w:r>
        <w:rPr>
          <w:rFonts w:hint="eastAsia" w:eastAsia="方正仿宋_GBK" w:cs="Times New Roman"/>
          <w:color w:val="auto"/>
          <w:sz w:val="32"/>
          <w:szCs w:val="32"/>
          <w:u w:val="none" w:color="auto"/>
          <w:lang w:val="en-US" w:eastAsia="zh-CN"/>
        </w:rPr>
        <w:t>”</w:t>
      </w:r>
      <w:r>
        <w:rPr>
          <w:rFonts w:hint="default" w:ascii="Times New Roman" w:hAnsi="Times New Roman" w:eastAsia="方正仿宋_GBK" w:cs="Times New Roman"/>
          <w:color w:val="auto"/>
          <w:sz w:val="32"/>
          <w:szCs w:val="32"/>
          <w:u w:val="none" w:color="auto"/>
          <w:lang w:val="en-US" w:eastAsia="zh-CN"/>
        </w:rPr>
        <w:t>战略，支持县区发挥优势，推深做实强链条、育集群、建生态三篇文章，积极实施</w:t>
      </w:r>
      <w:r>
        <w:rPr>
          <w:rFonts w:hint="eastAsia" w:eastAsia="方正仿宋_GBK" w:cs="Times New Roman"/>
          <w:color w:val="auto"/>
          <w:sz w:val="32"/>
          <w:szCs w:val="32"/>
          <w:u w:val="none" w:color="auto"/>
          <w:lang w:val="en-US" w:eastAsia="zh-CN"/>
        </w:rPr>
        <w:t>“</w:t>
      </w:r>
      <w:r>
        <w:rPr>
          <w:rFonts w:hint="default" w:ascii="Times New Roman" w:hAnsi="Times New Roman" w:eastAsia="方正仿宋_GBK" w:cs="Times New Roman"/>
          <w:color w:val="auto"/>
          <w:sz w:val="32"/>
          <w:szCs w:val="32"/>
          <w:u w:val="none" w:color="auto"/>
          <w:lang w:val="en-US" w:eastAsia="zh-CN"/>
        </w:rPr>
        <w:t>双招双引</w:t>
      </w:r>
      <w:r>
        <w:rPr>
          <w:rFonts w:hint="eastAsia" w:eastAsia="方正仿宋_GBK" w:cs="Times New Roman"/>
          <w:color w:val="auto"/>
          <w:sz w:val="32"/>
          <w:szCs w:val="32"/>
          <w:u w:val="none" w:color="auto"/>
          <w:lang w:val="en-US" w:eastAsia="zh-CN"/>
        </w:rPr>
        <w:t>”</w:t>
      </w:r>
      <w:r>
        <w:rPr>
          <w:rFonts w:hint="default" w:ascii="Times New Roman" w:hAnsi="Times New Roman" w:eastAsia="方正仿宋_GBK" w:cs="Times New Roman"/>
          <w:color w:val="auto"/>
          <w:sz w:val="32"/>
          <w:szCs w:val="32"/>
          <w:u w:val="none" w:color="auto"/>
          <w:lang w:val="en-US" w:eastAsia="zh-CN"/>
        </w:rPr>
        <w:t>、龙头培育、兼并重组、产学研协同创新、数字赋能、质量提升、绿色发展、</w:t>
      </w:r>
      <w:r>
        <w:rPr>
          <w:rFonts w:hint="eastAsia" w:eastAsia="方正仿宋_GBK" w:cs="Times New Roman"/>
          <w:color w:val="auto"/>
          <w:sz w:val="32"/>
          <w:szCs w:val="32"/>
          <w:u w:val="none" w:color="auto"/>
          <w:lang w:val="en-US" w:eastAsia="zh-CN"/>
        </w:rPr>
        <w:t>“</w:t>
      </w:r>
      <w:r>
        <w:rPr>
          <w:rFonts w:hint="default" w:ascii="Times New Roman" w:hAnsi="Times New Roman" w:eastAsia="方正仿宋_GBK" w:cs="Times New Roman"/>
          <w:color w:val="auto"/>
          <w:sz w:val="32"/>
          <w:szCs w:val="32"/>
          <w:u w:val="none" w:color="auto"/>
          <w:lang w:val="en-US" w:eastAsia="zh-CN"/>
        </w:rPr>
        <w:t>亳商培训</w:t>
      </w:r>
      <w:r>
        <w:rPr>
          <w:rFonts w:hint="eastAsia" w:eastAsia="方正仿宋_GBK" w:cs="Times New Roman"/>
          <w:color w:val="auto"/>
          <w:sz w:val="32"/>
          <w:szCs w:val="32"/>
          <w:u w:val="none" w:color="auto"/>
          <w:lang w:val="en-US" w:eastAsia="zh-CN"/>
        </w:rPr>
        <w:t>”</w:t>
      </w:r>
      <w:r>
        <w:rPr>
          <w:rFonts w:hint="default" w:ascii="Times New Roman" w:hAnsi="Times New Roman" w:eastAsia="方正仿宋_GBK" w:cs="Times New Roman"/>
          <w:color w:val="auto"/>
          <w:sz w:val="32"/>
          <w:szCs w:val="32"/>
          <w:u w:val="none" w:color="auto"/>
          <w:lang w:val="en-US" w:eastAsia="zh-CN"/>
        </w:rPr>
        <w:t>八大工程，做强做大优势企业。</w:t>
      </w:r>
    </w:p>
    <w:p w14:paraId="5425FAAB">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outlineLvl w:val="0"/>
        <w:rPr>
          <w:rFonts w:hint="eastAsia" w:ascii="方正黑体_GBK" w:hAnsi="方正黑体_GBK" w:eastAsia="方正黑体_GBK" w:cs="方正黑体_GBK"/>
          <w:color w:val="auto"/>
          <w:sz w:val="32"/>
          <w:szCs w:val="32"/>
          <w:u w:val="none" w:color="auto"/>
          <w:lang w:val="en-US" w:eastAsia="zh-CN"/>
        </w:rPr>
      </w:pPr>
      <w:r>
        <w:rPr>
          <w:rFonts w:hint="eastAsia" w:ascii="方正黑体_GBK" w:hAnsi="方正黑体_GBK" w:eastAsia="方正黑体_GBK" w:cs="方正黑体_GBK"/>
          <w:color w:val="auto"/>
          <w:sz w:val="32"/>
          <w:szCs w:val="32"/>
          <w:u w:val="none" w:color="auto"/>
          <w:lang w:val="en-US" w:eastAsia="zh-CN"/>
        </w:rPr>
        <w:t>三、扶育措施</w:t>
      </w:r>
    </w:p>
    <w:p w14:paraId="3A0E54FD">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Times New Roman" w:hAnsi="Times New Roman" w:eastAsia="方正仿宋_GBK" w:cs="Times New Roman"/>
          <w:color w:val="auto"/>
          <w:sz w:val="32"/>
          <w:szCs w:val="32"/>
          <w:u w:val="none" w:color="auto"/>
          <w:lang w:val="en-US" w:eastAsia="zh-CN"/>
        </w:rPr>
      </w:pPr>
      <w:r>
        <w:rPr>
          <w:rFonts w:hint="default" w:ascii="方正楷体_GBK" w:hAnsi="方正楷体_GBK" w:eastAsia="方正楷体_GBK" w:cs="方正楷体_GBK"/>
          <w:b w:val="0"/>
          <w:bCs w:val="0"/>
          <w:color w:val="auto"/>
          <w:sz w:val="32"/>
          <w:szCs w:val="32"/>
          <w:u w:val="none" w:color="auto"/>
          <w:lang w:val="en-US" w:eastAsia="zh-CN"/>
        </w:rPr>
        <w:t>（一）强化企业培训。</w:t>
      </w:r>
      <w:r>
        <w:rPr>
          <w:rFonts w:hint="default" w:ascii="Times New Roman" w:hAnsi="Times New Roman" w:eastAsia="方正仿宋_GBK" w:cs="Times New Roman"/>
          <w:color w:val="auto"/>
          <w:sz w:val="32"/>
          <w:szCs w:val="32"/>
          <w:u w:val="none" w:color="auto"/>
          <w:lang w:val="en-US" w:eastAsia="zh-CN"/>
        </w:rPr>
        <w:t>实施企业家素质提升计划，积极采取</w:t>
      </w:r>
      <w:r>
        <w:rPr>
          <w:rFonts w:hint="eastAsia" w:eastAsia="方正仿宋_GBK" w:cs="Times New Roman"/>
          <w:color w:val="auto"/>
          <w:sz w:val="32"/>
          <w:szCs w:val="32"/>
          <w:u w:val="none" w:color="auto"/>
          <w:lang w:val="en-US" w:eastAsia="zh-CN"/>
        </w:rPr>
        <w:t>“</w:t>
      </w:r>
      <w:r>
        <w:rPr>
          <w:rFonts w:hint="default" w:ascii="Times New Roman" w:hAnsi="Times New Roman" w:eastAsia="方正仿宋_GBK" w:cs="Times New Roman"/>
          <w:color w:val="auto"/>
          <w:sz w:val="32"/>
          <w:szCs w:val="32"/>
          <w:u w:val="none" w:color="auto"/>
          <w:lang w:val="en-US" w:eastAsia="zh-CN"/>
        </w:rPr>
        <w:t>走出去</w:t>
      </w:r>
      <w:r>
        <w:rPr>
          <w:rFonts w:hint="eastAsia" w:eastAsia="方正仿宋_GBK" w:cs="Times New Roman"/>
          <w:color w:val="auto"/>
          <w:sz w:val="32"/>
          <w:szCs w:val="32"/>
          <w:u w:val="none" w:color="auto"/>
          <w:lang w:val="en-US" w:eastAsia="zh-CN"/>
        </w:rPr>
        <w:t>”“</w:t>
      </w:r>
      <w:r>
        <w:rPr>
          <w:rFonts w:hint="default" w:ascii="Times New Roman" w:hAnsi="Times New Roman" w:eastAsia="方正仿宋_GBK" w:cs="Times New Roman"/>
          <w:color w:val="auto"/>
          <w:sz w:val="32"/>
          <w:szCs w:val="32"/>
          <w:u w:val="none" w:color="auto"/>
          <w:lang w:val="en-US" w:eastAsia="zh-CN"/>
        </w:rPr>
        <w:t>请进来</w:t>
      </w:r>
      <w:r>
        <w:rPr>
          <w:rFonts w:hint="eastAsia" w:eastAsia="方正仿宋_GBK" w:cs="Times New Roman"/>
          <w:color w:val="auto"/>
          <w:sz w:val="32"/>
          <w:szCs w:val="32"/>
          <w:u w:val="none" w:color="auto"/>
          <w:lang w:val="en-US" w:eastAsia="zh-CN"/>
        </w:rPr>
        <w:t>”</w:t>
      </w:r>
      <w:r>
        <w:rPr>
          <w:rFonts w:hint="default" w:ascii="Times New Roman" w:hAnsi="Times New Roman" w:eastAsia="方正仿宋_GBK" w:cs="Times New Roman"/>
          <w:color w:val="auto"/>
          <w:sz w:val="32"/>
          <w:szCs w:val="32"/>
          <w:u w:val="none" w:color="auto"/>
          <w:lang w:val="en-US" w:eastAsia="zh-CN"/>
        </w:rPr>
        <w:t>的办法，加强企业家培训，建立企业家</w:t>
      </w:r>
      <w:r>
        <w:rPr>
          <w:rFonts w:hint="eastAsia" w:eastAsia="方正仿宋_GBK" w:cs="Times New Roman"/>
          <w:color w:val="auto"/>
          <w:sz w:val="32"/>
          <w:szCs w:val="32"/>
          <w:u w:val="none" w:color="auto"/>
          <w:lang w:val="en-US" w:eastAsia="zh-CN"/>
        </w:rPr>
        <w:t>“</w:t>
      </w:r>
      <w:r>
        <w:rPr>
          <w:rFonts w:hint="default" w:ascii="Times New Roman" w:hAnsi="Times New Roman" w:eastAsia="方正仿宋_GBK" w:cs="Times New Roman"/>
          <w:color w:val="auto"/>
          <w:sz w:val="32"/>
          <w:szCs w:val="32"/>
          <w:u w:val="none" w:color="auto"/>
          <w:lang w:val="en-US" w:eastAsia="zh-CN"/>
        </w:rPr>
        <w:t>月度沙龙</w:t>
      </w:r>
      <w:r>
        <w:rPr>
          <w:rFonts w:hint="eastAsia" w:eastAsia="方正仿宋_GBK" w:cs="Times New Roman"/>
          <w:color w:val="auto"/>
          <w:sz w:val="32"/>
          <w:szCs w:val="32"/>
          <w:u w:val="none" w:color="auto"/>
          <w:lang w:val="en-US" w:eastAsia="zh-CN"/>
        </w:rPr>
        <w:t>”</w:t>
      </w:r>
      <w:r>
        <w:rPr>
          <w:rFonts w:hint="default" w:ascii="Times New Roman" w:hAnsi="Times New Roman" w:eastAsia="方正仿宋_GBK" w:cs="Times New Roman"/>
          <w:color w:val="auto"/>
          <w:sz w:val="32"/>
          <w:szCs w:val="32"/>
          <w:u w:val="none" w:color="auto"/>
          <w:lang w:val="en-US" w:eastAsia="zh-CN"/>
        </w:rPr>
        <w:t>活动机制，每月举办企业家沙龙，帮助企业高层管理者完善知识结构，转变经营理念，拓宽发展思路，优化治理结构，提高企业</w:t>
      </w:r>
      <w:r>
        <w:rPr>
          <w:rFonts w:hint="eastAsia" w:eastAsia="方正仿宋_GBK" w:cs="Times New Roman"/>
          <w:color w:val="auto"/>
          <w:sz w:val="32"/>
          <w:szCs w:val="32"/>
          <w:u w:val="none" w:color="auto"/>
          <w:lang w:val="en-US" w:eastAsia="zh-CN"/>
        </w:rPr>
        <w:t>现代化</w:t>
      </w:r>
      <w:r>
        <w:rPr>
          <w:rFonts w:hint="default" w:ascii="Times New Roman" w:hAnsi="Times New Roman" w:eastAsia="方正仿宋_GBK" w:cs="Times New Roman"/>
          <w:color w:val="auto"/>
          <w:sz w:val="32"/>
          <w:szCs w:val="32"/>
          <w:u w:val="none" w:color="auto"/>
          <w:lang w:val="en-US" w:eastAsia="zh-CN"/>
        </w:rPr>
        <w:t>治理能力。强化专业技术人才培训，通过联合办班、委托办班专题培训等形式，轮训一批专业技术骨干，全面培训企业、行业专业技术人才，提高专业技术人才综合能力和创新意识。强化技能型人才培训，以生产服务一线技能型人才培训为主体，与学历证书、培训证书、职业资格证书或职业技能等级证书相结合，采取校企结合进修培训、岗位技能大练兵等方式在相关专业领域提供短期技能提高培训。各县、区（包括亳州高新区、亳芜现代产业园区，下同）2022年一季度末要制定三类人员培训计划并有序组织实施，确保全市企业经营管理人员、专业技术人员和技能型人才培训全覆盖。</w:t>
      </w:r>
    </w:p>
    <w:p w14:paraId="21F11128">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Times New Roman" w:hAnsi="Times New Roman" w:eastAsia="方正仿宋_GBK" w:cs="Times New Roman"/>
          <w:color w:val="auto"/>
          <w:sz w:val="32"/>
          <w:szCs w:val="32"/>
          <w:u w:val="none" w:color="auto"/>
          <w:lang w:val="en-US" w:eastAsia="zh-CN"/>
        </w:rPr>
      </w:pPr>
      <w:r>
        <w:rPr>
          <w:rFonts w:hint="default" w:ascii="方正楷体_GBK" w:hAnsi="方正楷体_GBK" w:eastAsia="方正楷体_GBK" w:cs="方正楷体_GBK"/>
          <w:b w:val="0"/>
          <w:bCs w:val="0"/>
          <w:color w:val="auto"/>
          <w:sz w:val="32"/>
          <w:szCs w:val="32"/>
          <w:u w:val="none" w:color="auto"/>
          <w:lang w:val="en-US" w:eastAsia="zh-CN"/>
        </w:rPr>
        <w:t>（二）加强土地保障。</w:t>
      </w:r>
      <w:r>
        <w:rPr>
          <w:rFonts w:hint="default" w:ascii="Times New Roman" w:hAnsi="Times New Roman" w:eastAsia="方正仿宋_GBK" w:cs="Times New Roman"/>
          <w:color w:val="auto"/>
          <w:sz w:val="32"/>
          <w:szCs w:val="32"/>
          <w:u w:val="none" w:color="auto"/>
          <w:lang w:val="en-US" w:eastAsia="zh-CN"/>
        </w:rPr>
        <w:t>以规划为引领，保障工业项目新增用地需求。坚持节约集约原则，对符合国土空间规划、产业政策和生态环保要求的项目，保证土地供应，并积极引导工业项目入驻各类产业园区；严格执行建设用地使用标准，防止宽打窄用、供而不用；推广实施亩均效益评价，依法依规运用破产清算、兼并重组、技改提升和搬迁入园等方式，处置一批闲置土地和低效用地，加速</w:t>
      </w:r>
      <w:r>
        <w:rPr>
          <w:rFonts w:hint="eastAsia" w:eastAsia="方正仿宋_GBK" w:cs="Times New Roman"/>
          <w:color w:val="auto"/>
          <w:sz w:val="32"/>
          <w:szCs w:val="32"/>
          <w:u w:val="none" w:color="auto"/>
          <w:lang w:val="en-US" w:eastAsia="zh-CN"/>
        </w:rPr>
        <w:t>“</w:t>
      </w:r>
      <w:r>
        <w:rPr>
          <w:rFonts w:hint="default" w:ascii="Times New Roman" w:hAnsi="Times New Roman" w:eastAsia="方正仿宋_GBK" w:cs="Times New Roman"/>
          <w:color w:val="auto"/>
          <w:sz w:val="32"/>
          <w:szCs w:val="32"/>
          <w:u w:val="none" w:color="auto"/>
          <w:lang w:val="en-US" w:eastAsia="zh-CN"/>
        </w:rPr>
        <w:t>腾笼换鸟</w:t>
      </w:r>
      <w:r>
        <w:rPr>
          <w:rFonts w:hint="eastAsia" w:eastAsia="方正仿宋_GBK" w:cs="Times New Roman"/>
          <w:color w:val="auto"/>
          <w:sz w:val="32"/>
          <w:szCs w:val="32"/>
          <w:u w:val="none" w:color="auto"/>
          <w:lang w:val="en-US" w:eastAsia="zh-CN"/>
        </w:rPr>
        <w:t>”</w:t>
      </w:r>
      <w:r>
        <w:rPr>
          <w:rFonts w:hint="default" w:ascii="Times New Roman" w:hAnsi="Times New Roman" w:eastAsia="方正仿宋_GBK" w:cs="Times New Roman"/>
          <w:color w:val="auto"/>
          <w:sz w:val="32"/>
          <w:szCs w:val="32"/>
          <w:u w:val="none" w:color="auto"/>
          <w:lang w:val="en-US" w:eastAsia="zh-CN"/>
        </w:rPr>
        <w:t>，提高产业园区土地的节约集约利用水平，倒逼产业转型升级。</w:t>
      </w:r>
    </w:p>
    <w:p w14:paraId="5E1CD8E1">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Times New Roman" w:hAnsi="Times New Roman" w:eastAsia="方正仿宋_GBK" w:cs="Times New Roman"/>
          <w:color w:val="auto"/>
          <w:sz w:val="32"/>
          <w:szCs w:val="32"/>
          <w:highlight w:val="none"/>
          <w:u w:val="none" w:color="auto"/>
          <w:lang w:val="en-US" w:eastAsia="zh-CN"/>
        </w:rPr>
      </w:pPr>
      <w:r>
        <w:rPr>
          <w:rFonts w:hint="default" w:ascii="方正楷体_GBK" w:hAnsi="方正楷体_GBK" w:eastAsia="方正楷体_GBK" w:cs="方正楷体_GBK"/>
          <w:b w:val="0"/>
          <w:bCs w:val="0"/>
          <w:color w:val="auto"/>
          <w:sz w:val="32"/>
          <w:szCs w:val="32"/>
          <w:u w:val="none" w:color="auto"/>
          <w:lang w:val="en-US" w:eastAsia="zh-CN"/>
        </w:rPr>
        <w:t>（三）拓宽融资渠道。</w:t>
      </w:r>
      <w:r>
        <w:rPr>
          <w:rFonts w:hint="default" w:ascii="Times New Roman" w:hAnsi="Times New Roman" w:eastAsia="方正仿宋_GBK" w:cs="Times New Roman"/>
          <w:color w:val="auto"/>
          <w:sz w:val="32"/>
          <w:szCs w:val="32"/>
          <w:highlight w:val="none"/>
          <w:u w:val="none" w:color="auto"/>
          <w:lang w:val="en-US" w:eastAsia="zh-CN"/>
        </w:rPr>
        <w:t>进一步完善中小微企业贷款担保费补贴、利息补贴和贷款风险分担机制，引导银行业金融机构加大对企业信贷支持力度。推进中小微企业融资增量、扩面、降价，用好中小微企业综合金融服务平台。加强政府性融资担保体系建设，扩大新型政银担业务覆盖面。加强普惠小微贷款支持政策实施，提高首贷户、无还本续贷、信用贷款占比。每月分类别开展有针对性的银企对接活动，增强银企对接实效。推进应收账款融资、税融通、知识产权质押贷款、数字普惠等金融创新服务措施。鼓励金融机构开展创新服务，提高信贷产品与实体经济的契合度。强化基金支持力度，推动产业直投基金对</w:t>
      </w:r>
      <w:r>
        <w:rPr>
          <w:rFonts w:hint="eastAsia" w:eastAsia="方正仿宋_GBK" w:cs="Times New Roman"/>
          <w:color w:val="auto"/>
          <w:sz w:val="32"/>
          <w:szCs w:val="32"/>
          <w:highlight w:val="none"/>
          <w:u w:val="none" w:color="auto"/>
          <w:lang w:val="en-US" w:eastAsia="zh-CN"/>
        </w:rPr>
        <w:t>“</w:t>
      </w:r>
      <w:r>
        <w:rPr>
          <w:rFonts w:hint="default" w:ascii="Times New Roman" w:hAnsi="Times New Roman" w:eastAsia="方正仿宋_GBK" w:cs="Times New Roman"/>
          <w:color w:val="auto"/>
          <w:sz w:val="32"/>
          <w:szCs w:val="32"/>
          <w:highlight w:val="none"/>
          <w:u w:val="none" w:color="auto"/>
          <w:lang w:val="en-US" w:eastAsia="zh-CN"/>
        </w:rPr>
        <w:t>双招双引</w:t>
      </w:r>
      <w:r>
        <w:rPr>
          <w:rFonts w:hint="eastAsia" w:eastAsia="方正仿宋_GBK" w:cs="Times New Roman"/>
          <w:color w:val="auto"/>
          <w:sz w:val="32"/>
          <w:szCs w:val="32"/>
          <w:highlight w:val="none"/>
          <w:u w:val="none" w:color="auto"/>
          <w:lang w:val="en-US" w:eastAsia="zh-CN"/>
        </w:rPr>
        <w:t>”</w:t>
      </w:r>
      <w:r>
        <w:rPr>
          <w:rFonts w:hint="default" w:ascii="Times New Roman" w:hAnsi="Times New Roman" w:eastAsia="方正仿宋_GBK" w:cs="Times New Roman"/>
          <w:color w:val="auto"/>
          <w:sz w:val="32"/>
          <w:szCs w:val="32"/>
          <w:highlight w:val="none"/>
          <w:u w:val="none" w:color="auto"/>
          <w:lang w:val="en-US" w:eastAsia="zh-CN"/>
        </w:rPr>
        <w:t>落地项目投资和支持。推进企业规范化公司制改制，完善企业治理结构，推进企业挂牌上市。用好支小再贷款、再贴现等优惠政策工具，引导金融机构主动使用央行低成本资金支持地方实体经济，降低企业融资成本。</w:t>
      </w:r>
    </w:p>
    <w:p w14:paraId="48C6FD74">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Times New Roman" w:hAnsi="Times New Roman" w:eastAsia="方正仿宋_GBK" w:cs="Times New Roman"/>
          <w:color w:val="auto"/>
          <w:sz w:val="32"/>
          <w:szCs w:val="32"/>
          <w:highlight w:val="none"/>
          <w:u w:val="none" w:color="auto"/>
          <w:lang w:val="en-US" w:eastAsia="zh-CN"/>
        </w:rPr>
      </w:pPr>
      <w:r>
        <w:rPr>
          <w:rFonts w:hint="default" w:ascii="方正楷体_GBK" w:hAnsi="方正楷体_GBK" w:eastAsia="方正楷体_GBK" w:cs="方正楷体_GBK"/>
          <w:b w:val="0"/>
          <w:bCs w:val="0"/>
          <w:color w:val="auto"/>
          <w:sz w:val="32"/>
          <w:szCs w:val="32"/>
          <w:u w:val="none" w:color="auto"/>
          <w:lang w:val="en-US" w:eastAsia="zh-CN"/>
        </w:rPr>
        <w:t>（四）强化用工保障。</w:t>
      </w:r>
      <w:r>
        <w:rPr>
          <w:rFonts w:hint="default" w:ascii="Times New Roman" w:hAnsi="Times New Roman" w:eastAsia="方正仿宋_GBK" w:cs="Times New Roman"/>
          <w:color w:val="auto"/>
          <w:sz w:val="32"/>
          <w:szCs w:val="32"/>
          <w:highlight w:val="none"/>
          <w:u w:val="none" w:color="auto"/>
          <w:lang w:val="en-US" w:eastAsia="zh-CN"/>
        </w:rPr>
        <w:t>加强企业用工动态监测服务，每月摸排、汇总企业用工需求，加强调度。建立外出务工人员行业分类信息库，依托</w:t>
      </w:r>
      <w:r>
        <w:rPr>
          <w:rFonts w:hint="eastAsia" w:eastAsia="方正仿宋_GBK" w:cs="Times New Roman"/>
          <w:color w:val="auto"/>
          <w:sz w:val="32"/>
          <w:szCs w:val="32"/>
          <w:highlight w:val="none"/>
          <w:u w:val="none" w:color="auto"/>
          <w:lang w:val="en-US" w:eastAsia="zh-CN"/>
        </w:rPr>
        <w:t>“</w:t>
      </w:r>
      <w:r>
        <w:rPr>
          <w:rFonts w:hint="default" w:ascii="Times New Roman" w:hAnsi="Times New Roman" w:eastAsia="方正仿宋_GBK" w:cs="Times New Roman"/>
          <w:color w:val="auto"/>
          <w:sz w:val="32"/>
          <w:szCs w:val="32"/>
          <w:highlight w:val="none"/>
          <w:u w:val="none" w:color="auto"/>
          <w:lang w:val="en-US" w:eastAsia="zh-CN"/>
        </w:rPr>
        <w:t>我家亳州</w:t>
      </w:r>
      <w:r>
        <w:rPr>
          <w:rFonts w:hint="eastAsia" w:eastAsia="方正仿宋_GBK" w:cs="Times New Roman"/>
          <w:color w:val="auto"/>
          <w:sz w:val="32"/>
          <w:szCs w:val="32"/>
          <w:highlight w:val="none"/>
          <w:u w:val="none" w:color="auto"/>
          <w:lang w:val="en-US" w:eastAsia="zh-CN"/>
        </w:rPr>
        <w:t>”</w:t>
      </w:r>
      <w:r>
        <w:rPr>
          <w:rFonts w:hint="default" w:ascii="Times New Roman" w:hAnsi="Times New Roman" w:eastAsia="方正仿宋_GBK" w:cs="Times New Roman"/>
          <w:color w:val="auto"/>
          <w:sz w:val="32"/>
          <w:szCs w:val="32"/>
          <w:highlight w:val="none"/>
          <w:u w:val="none" w:color="auto"/>
          <w:lang w:val="en-US" w:eastAsia="zh-CN"/>
        </w:rPr>
        <w:t>APP、药都时空等搭建企业用工招聘平台，帮助企业吸收高层次人才、缓解普工缺口，助力企业解决</w:t>
      </w:r>
      <w:r>
        <w:rPr>
          <w:rFonts w:hint="eastAsia" w:eastAsia="方正仿宋_GBK" w:cs="Times New Roman"/>
          <w:color w:val="auto"/>
          <w:sz w:val="32"/>
          <w:szCs w:val="32"/>
          <w:highlight w:val="none"/>
          <w:u w:val="none" w:color="auto"/>
          <w:lang w:val="en-US" w:eastAsia="zh-CN"/>
        </w:rPr>
        <w:t>“</w:t>
      </w:r>
      <w:r>
        <w:rPr>
          <w:rFonts w:hint="default" w:ascii="Times New Roman" w:hAnsi="Times New Roman" w:eastAsia="方正仿宋_GBK" w:cs="Times New Roman"/>
          <w:color w:val="auto"/>
          <w:sz w:val="32"/>
          <w:szCs w:val="32"/>
          <w:highlight w:val="none"/>
          <w:u w:val="none" w:color="auto"/>
          <w:lang w:val="en-US" w:eastAsia="zh-CN"/>
        </w:rPr>
        <w:t>用工难</w:t>
      </w:r>
      <w:r>
        <w:rPr>
          <w:rFonts w:hint="eastAsia" w:eastAsia="方正仿宋_GBK" w:cs="Times New Roman"/>
          <w:color w:val="auto"/>
          <w:sz w:val="32"/>
          <w:szCs w:val="32"/>
          <w:highlight w:val="none"/>
          <w:u w:val="none" w:color="auto"/>
          <w:lang w:val="en-US" w:eastAsia="zh-CN"/>
        </w:rPr>
        <w:t>”</w:t>
      </w:r>
      <w:r>
        <w:rPr>
          <w:rFonts w:hint="default" w:ascii="Times New Roman" w:hAnsi="Times New Roman" w:eastAsia="方正仿宋_GBK" w:cs="Times New Roman"/>
          <w:color w:val="auto"/>
          <w:sz w:val="32"/>
          <w:szCs w:val="32"/>
          <w:highlight w:val="none"/>
          <w:u w:val="none" w:color="auto"/>
          <w:lang w:val="en-US" w:eastAsia="zh-CN"/>
        </w:rPr>
        <w:t>问题，促进工业经济高质量发展。按照</w:t>
      </w:r>
      <w:r>
        <w:rPr>
          <w:rFonts w:hint="default" w:ascii="Times New Roman" w:hAnsi="Times New Roman" w:eastAsia="方正仿宋_GBK" w:cs="Times New Roman"/>
          <w:color w:val="auto"/>
          <w:sz w:val="32"/>
          <w:szCs w:val="32"/>
          <w:u w:val="none" w:color="auto"/>
          <w:lang w:val="en-US" w:eastAsia="zh-CN"/>
        </w:rPr>
        <w:t>《关于印发亳州市推动全民创业促进就业支持实体经济高质量发展的若干措施（试行）的通知》（亳人社秘〔2021〕57号)规定及执行期限,精心组织</w:t>
      </w:r>
      <w:r>
        <w:rPr>
          <w:rFonts w:hint="default" w:ascii="Times New Roman" w:hAnsi="Times New Roman" w:eastAsia="方正仿宋_GBK" w:cs="Times New Roman"/>
          <w:color w:val="auto"/>
          <w:sz w:val="32"/>
          <w:szCs w:val="32"/>
          <w:highlight w:val="none"/>
          <w:u w:val="none" w:color="auto"/>
          <w:lang w:val="en-US" w:eastAsia="zh-CN"/>
        </w:rPr>
        <w:t>实施用工服务贴心工程、就业乐巢安心工程，促进劳动者在我市稳定就业，对工业企业创业者、返乡务工农民、工业企业就业人员给予一次性补贴、补助。</w:t>
      </w:r>
    </w:p>
    <w:p w14:paraId="061FF6D5">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Times New Roman" w:hAnsi="Times New Roman" w:eastAsia="方正仿宋_GBK" w:cs="Times New Roman"/>
          <w:color w:val="auto"/>
          <w:sz w:val="32"/>
          <w:szCs w:val="32"/>
          <w:highlight w:val="none"/>
          <w:u w:val="none" w:color="auto"/>
          <w:lang w:val="en-US" w:eastAsia="zh-CN"/>
        </w:rPr>
      </w:pPr>
      <w:r>
        <w:rPr>
          <w:rFonts w:hint="eastAsia" w:ascii="方正楷体_GBK" w:hAnsi="方正楷体_GBK" w:eastAsia="方正楷体_GBK" w:cs="方正楷体_GBK"/>
          <w:b w:val="0"/>
          <w:bCs w:val="0"/>
          <w:color w:val="auto"/>
          <w:sz w:val="32"/>
          <w:szCs w:val="32"/>
          <w:u w:val="none" w:color="auto"/>
          <w:lang w:val="en-US" w:eastAsia="zh-CN"/>
        </w:rPr>
        <w:t>（五）</w:t>
      </w:r>
      <w:r>
        <w:rPr>
          <w:rFonts w:hint="default" w:ascii="方正楷体_GBK" w:hAnsi="方正楷体_GBK" w:eastAsia="方正楷体_GBK" w:cs="方正楷体_GBK"/>
          <w:b w:val="0"/>
          <w:bCs w:val="0"/>
          <w:color w:val="auto"/>
          <w:sz w:val="32"/>
          <w:szCs w:val="32"/>
          <w:u w:val="none" w:color="auto"/>
          <w:lang w:val="en-US" w:eastAsia="zh-CN"/>
        </w:rPr>
        <w:t>支持创新发展。</w:t>
      </w:r>
      <w:r>
        <w:rPr>
          <w:rFonts w:hint="default" w:ascii="Times New Roman" w:hAnsi="Times New Roman" w:eastAsia="方正仿宋_GBK" w:cs="Times New Roman"/>
          <w:color w:val="auto"/>
          <w:sz w:val="32"/>
          <w:szCs w:val="32"/>
          <w:highlight w:val="none"/>
          <w:u w:val="none" w:color="auto"/>
          <w:lang w:val="en-US" w:eastAsia="zh-CN"/>
        </w:rPr>
        <w:t>各县、区要强化企业创新驱动，加快转型升级步伐。鼓励企业智能智造，支持企业机器换人和智能工厂、数字化车间建设。支持企业高端制造，加快首台（套）及重大技术装备推广应用。着力实施</w:t>
      </w:r>
      <w:r>
        <w:rPr>
          <w:rFonts w:hint="eastAsia" w:eastAsia="方正仿宋_GBK" w:cs="Times New Roman"/>
          <w:color w:val="auto"/>
          <w:sz w:val="32"/>
          <w:szCs w:val="32"/>
          <w:highlight w:val="none"/>
          <w:u w:val="none" w:color="auto"/>
          <w:lang w:val="en-US" w:eastAsia="zh-CN"/>
        </w:rPr>
        <w:t>“</w:t>
      </w:r>
      <w:r>
        <w:rPr>
          <w:rFonts w:hint="default" w:ascii="Times New Roman" w:hAnsi="Times New Roman" w:eastAsia="方正仿宋_GBK" w:cs="Times New Roman"/>
          <w:color w:val="auto"/>
          <w:sz w:val="32"/>
          <w:szCs w:val="32"/>
          <w:highlight w:val="none"/>
          <w:u w:val="none" w:color="auto"/>
          <w:lang w:val="en-US" w:eastAsia="zh-CN"/>
        </w:rPr>
        <w:t>增品种、提品质、创品牌</w:t>
      </w:r>
      <w:r>
        <w:rPr>
          <w:rFonts w:hint="eastAsia" w:eastAsia="方正仿宋_GBK" w:cs="Times New Roman"/>
          <w:color w:val="auto"/>
          <w:sz w:val="32"/>
          <w:szCs w:val="32"/>
          <w:highlight w:val="none"/>
          <w:u w:val="none" w:color="auto"/>
          <w:lang w:val="en-US" w:eastAsia="zh-CN"/>
        </w:rPr>
        <w:t>”</w:t>
      </w:r>
      <w:r>
        <w:rPr>
          <w:rFonts w:hint="default" w:ascii="Times New Roman" w:hAnsi="Times New Roman" w:eastAsia="方正仿宋_GBK" w:cs="Times New Roman"/>
          <w:color w:val="auto"/>
          <w:sz w:val="32"/>
          <w:szCs w:val="32"/>
          <w:highlight w:val="none"/>
          <w:u w:val="none" w:color="auto"/>
          <w:lang w:val="en-US" w:eastAsia="zh-CN"/>
        </w:rPr>
        <w:t>战略，支持企业产品创新、质量提升。支持</w:t>
      </w:r>
      <w:r>
        <w:rPr>
          <w:rFonts w:hint="eastAsia" w:eastAsia="方正仿宋_GBK" w:cs="Times New Roman"/>
          <w:color w:val="auto"/>
          <w:sz w:val="32"/>
          <w:szCs w:val="32"/>
          <w:highlight w:val="none"/>
          <w:u w:val="none" w:color="auto"/>
          <w:lang w:val="en-US" w:eastAsia="zh-CN"/>
        </w:rPr>
        <w:t>“</w:t>
      </w:r>
      <w:r>
        <w:rPr>
          <w:rFonts w:hint="default" w:ascii="Times New Roman" w:hAnsi="Times New Roman" w:eastAsia="方正仿宋_GBK" w:cs="Times New Roman"/>
          <w:color w:val="auto"/>
          <w:sz w:val="32"/>
          <w:szCs w:val="32"/>
          <w:highlight w:val="none"/>
          <w:u w:val="none" w:color="auto"/>
          <w:lang w:val="en-US" w:eastAsia="zh-CN"/>
        </w:rPr>
        <w:t>两化</w:t>
      </w:r>
      <w:r>
        <w:rPr>
          <w:rFonts w:hint="eastAsia" w:eastAsia="方正仿宋_GBK" w:cs="Times New Roman"/>
          <w:color w:val="auto"/>
          <w:sz w:val="32"/>
          <w:szCs w:val="32"/>
          <w:highlight w:val="none"/>
          <w:u w:val="none" w:color="auto"/>
          <w:lang w:val="en-US" w:eastAsia="zh-CN"/>
        </w:rPr>
        <w:t>”</w:t>
      </w:r>
      <w:r>
        <w:rPr>
          <w:rFonts w:hint="default" w:ascii="Times New Roman" w:hAnsi="Times New Roman" w:eastAsia="方正仿宋_GBK" w:cs="Times New Roman"/>
          <w:color w:val="auto"/>
          <w:sz w:val="32"/>
          <w:szCs w:val="32"/>
          <w:highlight w:val="none"/>
          <w:u w:val="none" w:color="auto"/>
          <w:lang w:val="en-US" w:eastAsia="zh-CN"/>
        </w:rPr>
        <w:t>融合，加速企业</w:t>
      </w:r>
      <w:r>
        <w:rPr>
          <w:rFonts w:hint="eastAsia" w:eastAsia="方正仿宋_GBK" w:cs="Times New Roman"/>
          <w:color w:val="auto"/>
          <w:sz w:val="32"/>
          <w:szCs w:val="32"/>
          <w:highlight w:val="none"/>
          <w:u w:val="none" w:color="auto"/>
          <w:lang w:val="en-US" w:eastAsia="zh-CN"/>
        </w:rPr>
        <w:t>“</w:t>
      </w:r>
      <w:r>
        <w:rPr>
          <w:rFonts w:hint="default" w:ascii="Times New Roman" w:hAnsi="Times New Roman" w:eastAsia="方正仿宋_GBK" w:cs="Times New Roman"/>
          <w:color w:val="auto"/>
          <w:sz w:val="32"/>
          <w:szCs w:val="32"/>
          <w:highlight w:val="none"/>
          <w:u w:val="none" w:color="auto"/>
          <w:lang w:val="en-US" w:eastAsia="zh-CN"/>
        </w:rPr>
        <w:t>登云</w:t>
      </w:r>
      <w:r>
        <w:rPr>
          <w:rFonts w:hint="eastAsia" w:eastAsia="方正仿宋_GBK" w:cs="Times New Roman"/>
          <w:color w:val="auto"/>
          <w:sz w:val="32"/>
          <w:szCs w:val="32"/>
          <w:highlight w:val="none"/>
          <w:u w:val="none" w:color="auto"/>
          <w:lang w:val="en-US" w:eastAsia="zh-CN"/>
        </w:rPr>
        <w:t>”</w:t>
      </w:r>
      <w:r>
        <w:rPr>
          <w:rFonts w:hint="default" w:ascii="Times New Roman" w:hAnsi="Times New Roman" w:eastAsia="方正仿宋_GBK" w:cs="Times New Roman"/>
          <w:color w:val="auto"/>
          <w:sz w:val="32"/>
          <w:szCs w:val="32"/>
          <w:highlight w:val="none"/>
          <w:u w:val="none" w:color="auto"/>
          <w:lang w:val="en-US" w:eastAsia="zh-CN"/>
        </w:rPr>
        <w:t>，加快数字化转型步伐。</w:t>
      </w:r>
    </w:p>
    <w:p w14:paraId="16DEF952">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Times New Roman" w:hAnsi="Times New Roman" w:eastAsia="方正仿宋_GBK" w:cs="Times New Roman"/>
          <w:strike w:val="0"/>
          <w:color w:val="auto"/>
          <w:sz w:val="32"/>
          <w:szCs w:val="32"/>
          <w:highlight w:val="none"/>
          <w:u w:val="none" w:color="auto"/>
          <w:lang w:val="en-US" w:eastAsia="zh-CN"/>
        </w:rPr>
      </w:pPr>
      <w:r>
        <w:rPr>
          <w:rFonts w:hint="default" w:ascii="方正楷体_GBK" w:hAnsi="方正楷体_GBK" w:eastAsia="方正楷体_GBK" w:cs="方正楷体_GBK"/>
          <w:b w:val="0"/>
          <w:bCs w:val="0"/>
          <w:color w:val="auto"/>
          <w:sz w:val="32"/>
          <w:szCs w:val="32"/>
          <w:u w:val="none" w:color="auto"/>
          <w:lang w:val="en-US" w:eastAsia="zh-CN"/>
        </w:rPr>
        <w:t>（六）帮助拓展市场。</w:t>
      </w:r>
      <w:r>
        <w:rPr>
          <w:rFonts w:hint="default" w:ascii="Times New Roman" w:hAnsi="Times New Roman" w:eastAsia="方正仿宋_GBK" w:cs="Times New Roman"/>
          <w:color w:val="auto"/>
          <w:sz w:val="32"/>
          <w:szCs w:val="32"/>
          <w:u w:val="none" w:color="auto"/>
          <w:lang w:val="en-US" w:eastAsia="zh-CN"/>
        </w:rPr>
        <w:t>各县、区要梳理本地主导产业发展现状，全面掌握重点企业、重点项目、重点平台等基本情况。指导重点企业建立核心配套企业和主要客户企业名录，梳理配套成本上升、市场需求不足等方面存在的困难和问题。坚持问题导向、目标导向和需求牵引，建立产业链协作需求清单协调处置机制。各县、区围绕主导产业每季度举办至少1场产需对接活动</w:t>
      </w:r>
      <w:r>
        <w:rPr>
          <w:rFonts w:hint="eastAsia" w:eastAsia="方正仿宋_GBK" w:cs="Times New Roman"/>
          <w:color w:val="auto"/>
          <w:sz w:val="32"/>
          <w:szCs w:val="32"/>
          <w:u w:val="none" w:color="auto"/>
          <w:lang w:val="en-US" w:eastAsia="zh-CN"/>
        </w:rPr>
        <w:t>，帮助企业扩大宣传、</w:t>
      </w:r>
      <w:r>
        <w:rPr>
          <w:rFonts w:hint="default" w:ascii="Times New Roman" w:hAnsi="Times New Roman" w:eastAsia="方正仿宋_GBK" w:cs="Times New Roman"/>
          <w:color w:val="auto"/>
          <w:sz w:val="32"/>
          <w:szCs w:val="32"/>
          <w:u w:val="none" w:color="auto"/>
          <w:lang w:val="en-US" w:eastAsia="zh-CN"/>
        </w:rPr>
        <w:t>拓展市场，</w:t>
      </w:r>
      <w:r>
        <w:rPr>
          <w:rFonts w:hint="eastAsia" w:eastAsia="方正仿宋_GBK" w:cs="Times New Roman"/>
          <w:color w:val="auto"/>
          <w:sz w:val="32"/>
          <w:szCs w:val="32"/>
          <w:u w:val="none" w:color="auto"/>
          <w:lang w:val="en-US" w:eastAsia="zh-CN"/>
        </w:rPr>
        <w:t>在同等条件下优先使用本地产品，</w:t>
      </w:r>
      <w:r>
        <w:rPr>
          <w:rFonts w:hint="default" w:ascii="Times New Roman" w:hAnsi="Times New Roman" w:eastAsia="方正仿宋_GBK" w:cs="Times New Roman"/>
          <w:color w:val="auto"/>
          <w:sz w:val="32"/>
          <w:szCs w:val="32"/>
          <w:u w:val="none" w:color="auto"/>
          <w:lang w:val="en-US" w:eastAsia="zh-CN"/>
        </w:rPr>
        <w:t>扩大市场占有率。鼓励企业参加境内外展会，帮助企业开拓国内外市场。　</w:t>
      </w:r>
    </w:p>
    <w:p w14:paraId="1007883B">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outlineLvl w:val="0"/>
        <w:rPr>
          <w:rFonts w:hint="eastAsia" w:ascii="方正黑体_GBK" w:hAnsi="方正黑体_GBK" w:eastAsia="方正黑体_GBK" w:cs="方正黑体_GBK"/>
          <w:color w:val="auto"/>
          <w:sz w:val="32"/>
          <w:szCs w:val="32"/>
          <w:u w:val="none" w:color="auto"/>
          <w:lang w:val="en-US" w:eastAsia="zh-CN"/>
        </w:rPr>
      </w:pPr>
      <w:r>
        <w:rPr>
          <w:rFonts w:hint="eastAsia" w:ascii="方正黑体_GBK" w:hAnsi="方正黑体_GBK" w:eastAsia="方正黑体_GBK" w:cs="方正黑体_GBK"/>
          <w:color w:val="auto"/>
          <w:sz w:val="32"/>
          <w:szCs w:val="32"/>
          <w:u w:val="none" w:color="auto"/>
          <w:lang w:val="en-US" w:eastAsia="zh-CN"/>
        </w:rPr>
        <w:t>四、工作保障</w:t>
      </w:r>
    </w:p>
    <w:p w14:paraId="6C757829">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Times New Roman" w:hAnsi="Times New Roman" w:eastAsia="方正仿宋_GBK" w:cs="Times New Roman"/>
          <w:color w:val="auto"/>
          <w:sz w:val="32"/>
          <w:szCs w:val="32"/>
          <w:highlight w:val="none"/>
          <w:u w:val="none" w:color="auto"/>
        </w:rPr>
      </w:pPr>
      <w:r>
        <w:rPr>
          <w:rFonts w:hint="eastAsia" w:ascii="方正楷体_GBK" w:hAnsi="方正楷体_GBK" w:eastAsia="方正楷体_GBK" w:cs="方正楷体_GBK"/>
          <w:color w:val="auto"/>
          <w:sz w:val="32"/>
          <w:szCs w:val="32"/>
          <w:highlight w:val="none"/>
          <w:u w:val="none" w:color="auto"/>
          <w:lang w:val="en-US" w:eastAsia="zh-CN"/>
        </w:rPr>
        <w:t>（一）一名干部包保到底。</w:t>
      </w:r>
      <w:r>
        <w:rPr>
          <w:rFonts w:hint="default" w:ascii="Times New Roman" w:hAnsi="Times New Roman" w:eastAsia="方正仿宋_GBK" w:cs="Times New Roman"/>
          <w:color w:val="auto"/>
          <w:sz w:val="32"/>
          <w:szCs w:val="32"/>
          <w:highlight w:val="none"/>
          <w:u w:val="none" w:color="auto"/>
        </w:rPr>
        <w:t>将</w:t>
      </w:r>
      <w:r>
        <w:rPr>
          <w:rFonts w:hint="default" w:ascii="Times New Roman" w:hAnsi="Times New Roman" w:eastAsia="方正仿宋_GBK" w:cs="Times New Roman"/>
          <w:color w:val="auto"/>
          <w:sz w:val="32"/>
          <w:szCs w:val="32"/>
          <w:highlight w:val="none"/>
          <w:u w:val="none" w:color="auto"/>
          <w:lang w:eastAsia="zh-CN"/>
        </w:rPr>
        <w:t>全市</w:t>
      </w:r>
      <w:r>
        <w:rPr>
          <w:rFonts w:hint="default" w:ascii="Times New Roman" w:hAnsi="Times New Roman" w:eastAsia="方正仿宋_GBK" w:cs="Times New Roman"/>
          <w:color w:val="auto"/>
          <w:sz w:val="32"/>
          <w:szCs w:val="32"/>
          <w:highlight w:val="none"/>
          <w:u w:val="none" w:color="auto"/>
          <w:lang w:val="en-US" w:eastAsia="zh-CN"/>
        </w:rPr>
        <w:t>规模以上工业企业以及临近入规工业企业纳入包保帮扶</w:t>
      </w:r>
      <w:r>
        <w:rPr>
          <w:rFonts w:hint="default" w:ascii="Times New Roman" w:hAnsi="Times New Roman" w:eastAsia="方正仿宋_GBK" w:cs="Times New Roman"/>
          <w:color w:val="auto"/>
          <w:sz w:val="32"/>
          <w:szCs w:val="32"/>
          <w:highlight w:val="none"/>
          <w:u w:val="none" w:color="auto"/>
        </w:rPr>
        <w:t>范围并动态调整</w:t>
      </w:r>
      <w:r>
        <w:rPr>
          <w:rFonts w:hint="default" w:ascii="Times New Roman" w:hAnsi="Times New Roman" w:eastAsia="方正仿宋_GBK" w:cs="Times New Roman"/>
          <w:color w:val="auto"/>
          <w:sz w:val="32"/>
          <w:szCs w:val="32"/>
          <w:highlight w:val="none"/>
          <w:u w:val="none" w:color="auto"/>
          <w:lang w:eastAsia="zh-CN"/>
        </w:rPr>
        <w:t>。建立干部包保帮扶和问题交办督办机制，市级处级以上、县区正科级以上干部每人包保</w:t>
      </w:r>
      <w:r>
        <w:rPr>
          <w:rFonts w:hint="default" w:ascii="Times New Roman" w:hAnsi="Times New Roman" w:eastAsia="方正仿宋_GBK" w:cs="Times New Roman"/>
          <w:color w:val="auto"/>
          <w:sz w:val="32"/>
          <w:szCs w:val="32"/>
          <w:highlight w:val="none"/>
          <w:u w:val="none" w:color="auto"/>
          <w:lang w:val="en-US" w:eastAsia="zh-CN"/>
        </w:rPr>
        <w:t>2家企业，建立网格化的包保工作机制，全面</w:t>
      </w:r>
      <w:r>
        <w:rPr>
          <w:rFonts w:hint="default" w:ascii="Times New Roman" w:hAnsi="Times New Roman" w:eastAsia="方正仿宋_GBK" w:cs="Times New Roman"/>
          <w:color w:val="auto"/>
          <w:sz w:val="32"/>
          <w:szCs w:val="32"/>
          <w:highlight w:val="none"/>
          <w:u w:val="none" w:color="auto"/>
          <w:lang w:eastAsia="zh-CN"/>
        </w:rPr>
        <w:t>重点摸排企业生产经营中的困难</w:t>
      </w:r>
      <w:r>
        <w:rPr>
          <w:rFonts w:hint="eastAsia" w:eastAsia="方正仿宋_GBK" w:cs="Times New Roman"/>
          <w:color w:val="auto"/>
          <w:sz w:val="32"/>
          <w:szCs w:val="32"/>
          <w:highlight w:val="none"/>
          <w:u w:val="none" w:color="auto"/>
          <w:lang w:eastAsia="zh-CN"/>
        </w:rPr>
        <w:t>、</w:t>
      </w:r>
      <w:r>
        <w:rPr>
          <w:rFonts w:hint="default" w:ascii="Times New Roman" w:hAnsi="Times New Roman" w:eastAsia="方正仿宋_GBK" w:cs="Times New Roman"/>
          <w:color w:val="auto"/>
          <w:sz w:val="32"/>
          <w:szCs w:val="32"/>
          <w:highlight w:val="none"/>
          <w:u w:val="none" w:color="auto"/>
          <w:lang w:eastAsia="zh-CN"/>
        </w:rPr>
        <w:t>问题和需求，对能够现场协调解决的问题</w:t>
      </w:r>
      <w:r>
        <w:rPr>
          <w:rFonts w:hint="eastAsia" w:eastAsia="方正仿宋_GBK" w:cs="Times New Roman"/>
          <w:color w:val="auto"/>
          <w:sz w:val="32"/>
          <w:szCs w:val="32"/>
          <w:highlight w:val="none"/>
          <w:u w:val="none" w:color="auto"/>
          <w:lang w:eastAsia="zh-CN"/>
        </w:rPr>
        <w:t>“</w:t>
      </w:r>
      <w:r>
        <w:rPr>
          <w:rFonts w:hint="default" w:ascii="Times New Roman" w:hAnsi="Times New Roman" w:eastAsia="方正仿宋_GBK" w:cs="Times New Roman"/>
          <w:color w:val="auto"/>
          <w:sz w:val="32"/>
          <w:szCs w:val="32"/>
          <w:highlight w:val="none"/>
          <w:u w:val="none" w:color="auto"/>
          <w:lang w:eastAsia="zh-CN"/>
        </w:rPr>
        <w:t>马上就办</w:t>
      </w:r>
      <w:r>
        <w:rPr>
          <w:rFonts w:hint="eastAsia" w:eastAsia="方正仿宋_GBK" w:cs="Times New Roman"/>
          <w:color w:val="auto"/>
          <w:sz w:val="32"/>
          <w:szCs w:val="32"/>
          <w:highlight w:val="none"/>
          <w:u w:val="none" w:color="auto"/>
          <w:lang w:eastAsia="zh-CN"/>
        </w:rPr>
        <w:t>”</w:t>
      </w:r>
      <w:r>
        <w:rPr>
          <w:rFonts w:hint="default" w:ascii="Times New Roman" w:hAnsi="Times New Roman" w:eastAsia="方正仿宋_GBK" w:cs="Times New Roman"/>
          <w:color w:val="auto"/>
          <w:sz w:val="32"/>
          <w:szCs w:val="32"/>
          <w:highlight w:val="none"/>
          <w:u w:val="none" w:color="auto"/>
          <w:lang w:eastAsia="zh-CN"/>
        </w:rPr>
        <w:t>，对需要协调其他部门的问题，包保干部了解企业详细诉求后，使用本部门账号录入</w:t>
      </w:r>
      <w:r>
        <w:rPr>
          <w:rFonts w:hint="eastAsia" w:eastAsia="方正仿宋_GBK" w:cs="Times New Roman"/>
          <w:color w:val="auto"/>
          <w:sz w:val="32"/>
          <w:szCs w:val="32"/>
          <w:highlight w:val="none"/>
          <w:u w:val="none" w:color="auto"/>
          <w:lang w:eastAsia="zh-CN"/>
        </w:rPr>
        <w:t>“</w:t>
      </w:r>
      <w:r>
        <w:rPr>
          <w:rFonts w:hint="default" w:ascii="Times New Roman" w:hAnsi="Times New Roman" w:eastAsia="方正仿宋_GBK" w:cs="Times New Roman"/>
          <w:color w:val="auto"/>
          <w:sz w:val="32"/>
          <w:szCs w:val="32"/>
          <w:highlight w:val="none"/>
          <w:u w:val="none" w:color="auto"/>
          <w:lang w:eastAsia="zh-CN"/>
        </w:rPr>
        <w:t>四送一服</w:t>
      </w:r>
      <w:r>
        <w:rPr>
          <w:rFonts w:hint="eastAsia" w:eastAsia="方正仿宋_GBK" w:cs="Times New Roman"/>
          <w:color w:val="auto"/>
          <w:sz w:val="32"/>
          <w:szCs w:val="32"/>
          <w:highlight w:val="none"/>
          <w:u w:val="none" w:color="auto"/>
          <w:lang w:eastAsia="zh-CN"/>
        </w:rPr>
        <w:t>”</w:t>
      </w:r>
      <w:r>
        <w:rPr>
          <w:rFonts w:hint="default" w:ascii="Times New Roman" w:hAnsi="Times New Roman" w:eastAsia="方正仿宋_GBK" w:cs="Times New Roman"/>
          <w:color w:val="auto"/>
          <w:sz w:val="32"/>
          <w:szCs w:val="32"/>
          <w:highlight w:val="none"/>
          <w:u w:val="none" w:color="auto"/>
          <w:lang w:eastAsia="zh-CN"/>
        </w:rPr>
        <w:t>平台，关注办理进展及时告知企业，市县经信部门会同</w:t>
      </w:r>
      <w:r>
        <w:rPr>
          <w:rFonts w:hint="eastAsia" w:eastAsia="方正仿宋_GBK" w:cs="Times New Roman"/>
          <w:color w:val="auto"/>
          <w:sz w:val="32"/>
          <w:szCs w:val="32"/>
          <w:highlight w:val="none"/>
          <w:u w:val="none" w:color="auto"/>
          <w:lang w:eastAsia="zh-CN"/>
        </w:rPr>
        <w:t>“</w:t>
      </w:r>
      <w:r>
        <w:rPr>
          <w:rFonts w:hint="default" w:ascii="Times New Roman" w:hAnsi="Times New Roman" w:eastAsia="方正仿宋_GBK" w:cs="Times New Roman"/>
          <w:color w:val="auto"/>
          <w:sz w:val="32"/>
          <w:szCs w:val="32"/>
          <w:highlight w:val="none"/>
          <w:u w:val="none" w:color="auto"/>
          <w:lang w:eastAsia="zh-CN"/>
        </w:rPr>
        <w:t>四送一服</w:t>
      </w:r>
      <w:r>
        <w:rPr>
          <w:rFonts w:hint="eastAsia" w:eastAsia="方正仿宋_GBK" w:cs="Times New Roman"/>
          <w:color w:val="auto"/>
          <w:sz w:val="32"/>
          <w:szCs w:val="32"/>
          <w:highlight w:val="none"/>
          <w:u w:val="none" w:color="auto"/>
          <w:lang w:eastAsia="zh-CN"/>
        </w:rPr>
        <w:t>”</w:t>
      </w:r>
      <w:r>
        <w:rPr>
          <w:rFonts w:hint="default" w:ascii="Times New Roman" w:hAnsi="Times New Roman" w:eastAsia="方正仿宋_GBK" w:cs="Times New Roman"/>
          <w:color w:val="auto"/>
          <w:sz w:val="32"/>
          <w:szCs w:val="32"/>
          <w:highlight w:val="none"/>
          <w:u w:val="none" w:color="auto"/>
          <w:lang w:eastAsia="zh-CN"/>
        </w:rPr>
        <w:t>部门进行交办、督办，建立问题台账，定期销号、动态清零，</w:t>
      </w:r>
      <w:r>
        <w:rPr>
          <w:rFonts w:hint="default" w:ascii="Times New Roman" w:hAnsi="Times New Roman" w:eastAsia="方正仿宋_GBK" w:cs="Times New Roman"/>
          <w:color w:val="auto"/>
          <w:sz w:val="32"/>
          <w:szCs w:val="32"/>
          <w:highlight w:val="none"/>
          <w:u w:val="none" w:color="auto"/>
        </w:rPr>
        <w:t>有针对性地帮助企业解决资金、土地、人才等难题，</w:t>
      </w:r>
      <w:r>
        <w:rPr>
          <w:rFonts w:hint="default" w:ascii="Times New Roman" w:hAnsi="Times New Roman" w:eastAsia="方正仿宋_GBK" w:cs="Times New Roman"/>
          <w:color w:val="auto"/>
          <w:sz w:val="32"/>
          <w:szCs w:val="32"/>
          <w:highlight w:val="none"/>
          <w:u w:val="none" w:color="auto"/>
          <w:lang w:eastAsia="zh-CN"/>
        </w:rPr>
        <w:t>优质高效</w:t>
      </w:r>
      <w:r>
        <w:rPr>
          <w:rFonts w:hint="default" w:ascii="Times New Roman" w:hAnsi="Times New Roman" w:eastAsia="方正仿宋_GBK" w:cs="Times New Roman"/>
          <w:color w:val="auto"/>
          <w:sz w:val="32"/>
          <w:szCs w:val="32"/>
          <w:highlight w:val="none"/>
          <w:u w:val="none" w:color="auto"/>
        </w:rPr>
        <w:t>服务实体经济</w:t>
      </w:r>
      <w:r>
        <w:rPr>
          <w:rFonts w:hint="default" w:ascii="Times New Roman" w:hAnsi="Times New Roman" w:eastAsia="方正仿宋_GBK" w:cs="Times New Roman"/>
          <w:color w:val="auto"/>
          <w:sz w:val="32"/>
          <w:szCs w:val="32"/>
          <w:highlight w:val="none"/>
          <w:u w:val="none" w:color="auto"/>
          <w:lang w:eastAsia="zh-CN"/>
        </w:rPr>
        <w:t>发展</w:t>
      </w:r>
      <w:r>
        <w:rPr>
          <w:rFonts w:hint="default" w:ascii="Times New Roman" w:hAnsi="Times New Roman" w:eastAsia="方正仿宋_GBK" w:cs="Times New Roman"/>
          <w:color w:val="auto"/>
          <w:sz w:val="32"/>
          <w:szCs w:val="32"/>
          <w:highlight w:val="none"/>
          <w:u w:val="none" w:color="auto"/>
        </w:rPr>
        <w:t>。</w:t>
      </w:r>
    </w:p>
    <w:p w14:paraId="3F2C883E">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Times New Roman" w:hAnsi="Times New Roman" w:eastAsia="方正仿宋_GBK" w:cs="Times New Roman"/>
          <w:color w:val="auto"/>
          <w:sz w:val="32"/>
          <w:szCs w:val="32"/>
          <w:u w:val="none" w:color="auto"/>
          <w:lang w:eastAsia="zh-CN"/>
        </w:rPr>
      </w:pPr>
      <w:r>
        <w:rPr>
          <w:rFonts w:hint="default" w:ascii="方正楷体_GBK" w:hAnsi="方正楷体_GBK" w:eastAsia="方正楷体_GBK" w:cs="方正楷体_GBK"/>
          <w:color w:val="auto"/>
          <w:sz w:val="32"/>
          <w:szCs w:val="32"/>
          <w:highlight w:val="none"/>
          <w:u w:val="none" w:color="auto"/>
          <w:lang w:val="en-US" w:eastAsia="zh-CN"/>
        </w:rPr>
        <w:t>（二）一企一策帮扶到位。</w:t>
      </w:r>
      <w:r>
        <w:rPr>
          <w:rFonts w:hint="default" w:ascii="Times New Roman" w:hAnsi="Times New Roman" w:eastAsia="方正仿宋_GBK" w:cs="Times New Roman"/>
          <w:color w:val="auto"/>
          <w:sz w:val="32"/>
          <w:szCs w:val="32"/>
          <w:u w:val="none" w:color="auto"/>
        </w:rPr>
        <w:t>加大对</w:t>
      </w:r>
      <w:r>
        <w:rPr>
          <w:rFonts w:hint="default" w:ascii="Times New Roman" w:hAnsi="Times New Roman" w:eastAsia="方正仿宋_GBK" w:cs="Times New Roman"/>
          <w:color w:val="auto"/>
          <w:sz w:val="32"/>
          <w:szCs w:val="32"/>
          <w:u w:val="none" w:color="auto"/>
          <w:lang w:eastAsia="zh-CN"/>
        </w:rPr>
        <w:t>拟入规</w:t>
      </w:r>
      <w:r>
        <w:rPr>
          <w:rFonts w:hint="default" w:ascii="Times New Roman" w:hAnsi="Times New Roman" w:eastAsia="方正仿宋_GBK" w:cs="Times New Roman"/>
          <w:color w:val="auto"/>
          <w:sz w:val="32"/>
          <w:szCs w:val="32"/>
          <w:u w:val="none" w:color="auto"/>
        </w:rPr>
        <w:t>企业要素保障力度，对</w:t>
      </w:r>
      <w:r>
        <w:rPr>
          <w:rFonts w:hint="default" w:ascii="Times New Roman" w:hAnsi="Times New Roman" w:eastAsia="方正仿宋_GBK" w:cs="Times New Roman"/>
          <w:color w:val="auto"/>
          <w:sz w:val="32"/>
          <w:szCs w:val="32"/>
          <w:u w:val="none" w:color="auto"/>
          <w:lang w:eastAsia="zh-CN"/>
        </w:rPr>
        <w:t>有</w:t>
      </w:r>
      <w:r>
        <w:rPr>
          <w:rFonts w:hint="default" w:ascii="Times New Roman" w:hAnsi="Times New Roman" w:eastAsia="方正仿宋_GBK" w:cs="Times New Roman"/>
          <w:color w:val="auto"/>
          <w:sz w:val="32"/>
          <w:szCs w:val="32"/>
          <w:u w:val="none" w:color="auto"/>
        </w:rPr>
        <w:t>用地</w:t>
      </w:r>
      <w:r>
        <w:rPr>
          <w:rFonts w:hint="default" w:ascii="Times New Roman" w:hAnsi="Times New Roman" w:eastAsia="方正仿宋_GBK" w:cs="Times New Roman"/>
          <w:color w:val="auto"/>
          <w:sz w:val="32"/>
          <w:szCs w:val="32"/>
          <w:u w:val="none" w:color="auto"/>
          <w:lang w:eastAsia="zh-CN"/>
        </w:rPr>
        <w:t>需求的</w:t>
      </w:r>
      <w:r>
        <w:rPr>
          <w:rFonts w:hint="default" w:ascii="Times New Roman" w:hAnsi="Times New Roman" w:eastAsia="方正仿宋_GBK" w:cs="Times New Roman"/>
          <w:color w:val="auto"/>
          <w:sz w:val="32"/>
          <w:szCs w:val="32"/>
          <w:u w:val="none" w:color="auto"/>
        </w:rPr>
        <w:t>企业优先解决用地计划指标</w:t>
      </w:r>
      <w:r>
        <w:rPr>
          <w:rFonts w:hint="default" w:ascii="Times New Roman" w:hAnsi="Times New Roman" w:eastAsia="方正仿宋_GBK" w:cs="Times New Roman"/>
          <w:color w:val="auto"/>
          <w:sz w:val="32"/>
          <w:szCs w:val="32"/>
          <w:u w:val="none" w:color="auto"/>
          <w:lang w:eastAsia="zh-CN"/>
        </w:rPr>
        <w:t>。积极</w:t>
      </w:r>
      <w:r>
        <w:rPr>
          <w:rFonts w:hint="default" w:ascii="Times New Roman" w:hAnsi="Times New Roman" w:eastAsia="方正仿宋_GBK" w:cs="Times New Roman"/>
          <w:color w:val="auto"/>
          <w:sz w:val="32"/>
          <w:szCs w:val="32"/>
          <w:u w:val="none" w:color="auto"/>
        </w:rPr>
        <w:t>破解融资难题，支持企业以设备、专利、仓单抵押等方式贷款</w:t>
      </w:r>
      <w:r>
        <w:rPr>
          <w:rFonts w:hint="default" w:ascii="Times New Roman" w:hAnsi="Times New Roman" w:eastAsia="方正仿宋_GBK" w:cs="Times New Roman"/>
          <w:color w:val="auto"/>
          <w:sz w:val="32"/>
          <w:szCs w:val="32"/>
          <w:u w:val="none" w:color="auto"/>
          <w:lang w:eastAsia="zh-CN"/>
        </w:rPr>
        <w:t>。</w:t>
      </w:r>
      <w:r>
        <w:rPr>
          <w:rFonts w:hint="default" w:ascii="Times New Roman" w:hAnsi="Times New Roman" w:eastAsia="方正仿宋_GBK" w:cs="Times New Roman"/>
          <w:color w:val="auto"/>
          <w:sz w:val="32"/>
          <w:szCs w:val="32"/>
          <w:u w:val="none" w:color="auto"/>
        </w:rPr>
        <w:t>保障企业用能供给，</w:t>
      </w:r>
      <w:r>
        <w:rPr>
          <w:rFonts w:hint="default" w:ascii="Times New Roman" w:hAnsi="Times New Roman" w:eastAsia="方正仿宋_GBK" w:cs="Times New Roman"/>
          <w:color w:val="auto"/>
          <w:sz w:val="32"/>
          <w:szCs w:val="32"/>
          <w:u w:val="none" w:color="auto"/>
          <w:lang w:eastAsia="zh-CN"/>
        </w:rPr>
        <w:t>依据亩均效益评价结果分类，差别化配套实施用电、用气、用能政策。</w:t>
      </w:r>
      <w:r>
        <w:rPr>
          <w:rFonts w:hint="default" w:ascii="Times New Roman" w:hAnsi="Times New Roman" w:eastAsia="方正仿宋_GBK" w:cs="Times New Roman"/>
          <w:color w:val="auto"/>
          <w:sz w:val="32"/>
          <w:szCs w:val="32"/>
          <w:u w:val="none" w:color="auto"/>
        </w:rPr>
        <w:t>强化人才支撑，</w:t>
      </w:r>
      <w:r>
        <w:rPr>
          <w:rFonts w:hint="default" w:ascii="Times New Roman" w:hAnsi="Times New Roman" w:eastAsia="方正仿宋_GBK" w:cs="Times New Roman"/>
          <w:color w:val="auto"/>
          <w:sz w:val="32"/>
          <w:szCs w:val="32"/>
          <w:u w:val="none" w:color="auto"/>
          <w:lang w:eastAsia="zh-CN"/>
        </w:rPr>
        <w:t>加强</w:t>
      </w:r>
      <w:r>
        <w:rPr>
          <w:rFonts w:hint="default" w:ascii="Times New Roman" w:hAnsi="Times New Roman" w:eastAsia="方正仿宋_GBK" w:cs="Times New Roman"/>
          <w:color w:val="auto"/>
          <w:sz w:val="32"/>
          <w:szCs w:val="32"/>
          <w:u w:val="none" w:color="auto"/>
        </w:rPr>
        <w:t>与</w:t>
      </w:r>
      <w:r>
        <w:rPr>
          <w:rFonts w:hint="default" w:ascii="Times New Roman" w:hAnsi="Times New Roman" w:eastAsia="方正仿宋_GBK" w:cs="Times New Roman"/>
          <w:color w:val="auto"/>
          <w:sz w:val="32"/>
          <w:szCs w:val="32"/>
          <w:u w:val="none" w:color="auto"/>
          <w:lang w:eastAsia="zh-CN"/>
        </w:rPr>
        <w:t>省内外高</w:t>
      </w:r>
      <w:r>
        <w:rPr>
          <w:rFonts w:hint="default" w:ascii="Times New Roman" w:hAnsi="Times New Roman" w:eastAsia="方正仿宋_GBK" w:cs="Times New Roman"/>
          <w:color w:val="auto"/>
          <w:sz w:val="32"/>
          <w:szCs w:val="32"/>
          <w:u w:val="none" w:color="auto"/>
        </w:rPr>
        <w:t>校</w:t>
      </w:r>
      <w:r>
        <w:rPr>
          <w:rFonts w:hint="default" w:ascii="Times New Roman" w:hAnsi="Times New Roman" w:eastAsia="方正仿宋_GBK" w:cs="Times New Roman"/>
          <w:color w:val="auto"/>
          <w:sz w:val="32"/>
          <w:szCs w:val="32"/>
          <w:u w:val="none" w:color="auto"/>
          <w:lang w:eastAsia="zh-CN"/>
        </w:rPr>
        <w:t>对接</w:t>
      </w:r>
      <w:r>
        <w:rPr>
          <w:rFonts w:hint="default" w:ascii="Times New Roman" w:hAnsi="Times New Roman" w:eastAsia="方正仿宋_GBK" w:cs="Times New Roman"/>
          <w:color w:val="auto"/>
          <w:sz w:val="32"/>
          <w:szCs w:val="32"/>
          <w:u w:val="none" w:color="auto"/>
        </w:rPr>
        <w:t>，</w:t>
      </w:r>
      <w:r>
        <w:rPr>
          <w:rFonts w:hint="default" w:ascii="Times New Roman" w:hAnsi="Times New Roman" w:eastAsia="方正仿宋_GBK" w:cs="Times New Roman"/>
          <w:color w:val="auto"/>
          <w:sz w:val="32"/>
          <w:szCs w:val="32"/>
          <w:u w:val="none" w:color="auto"/>
          <w:lang w:eastAsia="zh-CN"/>
        </w:rPr>
        <w:t>针对性</w:t>
      </w:r>
      <w:r>
        <w:rPr>
          <w:rFonts w:hint="default" w:ascii="Times New Roman" w:hAnsi="Times New Roman" w:eastAsia="方正仿宋_GBK" w:cs="Times New Roman"/>
          <w:color w:val="auto"/>
          <w:sz w:val="32"/>
          <w:szCs w:val="32"/>
          <w:u w:val="none" w:color="auto"/>
        </w:rPr>
        <w:t>开展企业</w:t>
      </w:r>
      <w:r>
        <w:rPr>
          <w:rFonts w:hint="default" w:ascii="Times New Roman" w:hAnsi="Times New Roman" w:eastAsia="方正仿宋_GBK" w:cs="Times New Roman"/>
          <w:color w:val="auto"/>
          <w:sz w:val="32"/>
          <w:szCs w:val="32"/>
          <w:u w:val="none" w:color="auto"/>
          <w:lang w:eastAsia="zh-CN"/>
        </w:rPr>
        <w:t>亟</w:t>
      </w:r>
      <w:r>
        <w:rPr>
          <w:rFonts w:hint="default" w:ascii="Times New Roman" w:hAnsi="Times New Roman" w:eastAsia="方正仿宋_GBK" w:cs="Times New Roman"/>
          <w:color w:val="auto"/>
          <w:sz w:val="32"/>
          <w:szCs w:val="32"/>
          <w:u w:val="none" w:color="auto"/>
        </w:rPr>
        <w:t>需人才</w:t>
      </w:r>
      <w:r>
        <w:rPr>
          <w:rFonts w:hint="eastAsia" w:eastAsia="方正仿宋_GBK" w:cs="Times New Roman"/>
          <w:color w:val="auto"/>
          <w:sz w:val="32"/>
          <w:szCs w:val="32"/>
          <w:u w:val="none" w:color="auto"/>
          <w:lang w:eastAsia="zh-CN"/>
        </w:rPr>
        <w:t>引进和</w:t>
      </w:r>
      <w:r>
        <w:rPr>
          <w:rFonts w:hint="default" w:ascii="Times New Roman" w:hAnsi="Times New Roman" w:eastAsia="方正仿宋_GBK" w:cs="Times New Roman"/>
          <w:color w:val="auto"/>
          <w:sz w:val="32"/>
          <w:szCs w:val="32"/>
          <w:u w:val="none" w:color="auto"/>
        </w:rPr>
        <w:t>培训</w:t>
      </w:r>
      <w:r>
        <w:rPr>
          <w:rFonts w:hint="default" w:ascii="Times New Roman" w:hAnsi="Times New Roman" w:eastAsia="方正仿宋_GBK" w:cs="Times New Roman"/>
          <w:color w:val="auto"/>
          <w:sz w:val="32"/>
          <w:szCs w:val="32"/>
          <w:u w:val="none" w:color="auto"/>
          <w:lang w:eastAsia="zh-CN"/>
        </w:rPr>
        <w:t>。加强惠企政策宣传解读，帮扶指导企业申报项目。</w:t>
      </w:r>
    </w:p>
    <w:p w14:paraId="47942E09">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Times New Roman" w:hAnsi="Times New Roman" w:eastAsia="方正仿宋_GBK" w:cs="Times New Roman"/>
          <w:color w:val="auto"/>
          <w:sz w:val="32"/>
          <w:szCs w:val="32"/>
          <w:u w:val="none" w:color="auto"/>
          <w:lang w:val="en-US" w:eastAsia="zh-CN"/>
        </w:rPr>
      </w:pPr>
      <w:r>
        <w:rPr>
          <w:rFonts w:hint="default" w:ascii="方正楷体_GBK" w:hAnsi="方正楷体_GBK" w:eastAsia="方正楷体_GBK" w:cs="方正楷体_GBK"/>
          <w:color w:val="auto"/>
          <w:sz w:val="32"/>
          <w:szCs w:val="32"/>
          <w:highlight w:val="none"/>
          <w:u w:val="none" w:color="auto"/>
          <w:lang w:val="en-US" w:eastAsia="zh-CN"/>
        </w:rPr>
        <w:t>（三）扶持政策精准到企。</w:t>
      </w:r>
      <w:r>
        <w:rPr>
          <w:rFonts w:hint="default" w:ascii="Times New Roman" w:hAnsi="Times New Roman" w:eastAsia="方正仿宋_GBK" w:cs="Times New Roman"/>
          <w:color w:val="auto"/>
          <w:sz w:val="32"/>
          <w:szCs w:val="32"/>
          <w:u w:val="none" w:color="auto"/>
          <w:lang w:val="en-US" w:eastAsia="zh-CN"/>
        </w:rPr>
        <w:t>完善政策扶持体系，强化亩均效益评价结果运用，推荐工业企业申报各类项目奖补资金。加大减税降费政策宣传执行力度，及时帮助符合条件的规模以上工业企业享受企业研发费用加计扣除、固定资产加速折旧、高新技术企业减免税等政策。全面推行惠企政策</w:t>
      </w:r>
      <w:r>
        <w:rPr>
          <w:rFonts w:hint="eastAsia" w:eastAsia="方正仿宋_GBK" w:cs="Times New Roman"/>
          <w:color w:val="auto"/>
          <w:sz w:val="32"/>
          <w:szCs w:val="32"/>
          <w:u w:val="none" w:color="auto"/>
          <w:lang w:val="en-US" w:eastAsia="zh-CN"/>
        </w:rPr>
        <w:t>“</w:t>
      </w:r>
      <w:r>
        <w:rPr>
          <w:rFonts w:hint="default" w:ascii="Times New Roman" w:hAnsi="Times New Roman" w:eastAsia="方正仿宋_GBK" w:cs="Times New Roman"/>
          <w:color w:val="auto"/>
          <w:sz w:val="32"/>
          <w:szCs w:val="32"/>
          <w:u w:val="none" w:color="auto"/>
          <w:lang w:val="en-US" w:eastAsia="zh-CN"/>
        </w:rPr>
        <w:t>免申即享</w:t>
      </w:r>
      <w:r>
        <w:rPr>
          <w:rFonts w:hint="eastAsia" w:eastAsia="方正仿宋_GBK" w:cs="Times New Roman"/>
          <w:color w:val="auto"/>
          <w:sz w:val="32"/>
          <w:szCs w:val="32"/>
          <w:u w:val="none" w:color="auto"/>
          <w:lang w:val="en-US" w:eastAsia="zh-CN"/>
        </w:rPr>
        <w:t>”</w:t>
      </w:r>
      <w:r>
        <w:rPr>
          <w:rFonts w:hint="default" w:ascii="Times New Roman" w:hAnsi="Times New Roman" w:eastAsia="方正仿宋_GBK" w:cs="Times New Roman"/>
          <w:color w:val="auto"/>
          <w:sz w:val="32"/>
          <w:szCs w:val="32"/>
          <w:u w:val="none" w:color="auto"/>
          <w:lang w:val="en-US" w:eastAsia="zh-CN"/>
        </w:rPr>
        <w:t>，让企业更精准、更全面、更便利的享受政策红利，真正实现</w:t>
      </w:r>
      <w:r>
        <w:rPr>
          <w:rFonts w:hint="eastAsia" w:eastAsia="方正仿宋_GBK" w:cs="Times New Roman"/>
          <w:color w:val="auto"/>
          <w:sz w:val="32"/>
          <w:szCs w:val="32"/>
          <w:u w:val="none" w:color="auto"/>
          <w:lang w:val="en-US" w:eastAsia="zh-CN"/>
        </w:rPr>
        <w:t>“</w:t>
      </w:r>
      <w:r>
        <w:rPr>
          <w:rFonts w:hint="default" w:ascii="Times New Roman" w:hAnsi="Times New Roman" w:eastAsia="方正仿宋_GBK" w:cs="Times New Roman"/>
          <w:color w:val="auto"/>
          <w:sz w:val="32"/>
          <w:szCs w:val="32"/>
          <w:u w:val="none" w:color="auto"/>
          <w:lang w:val="en-US" w:eastAsia="zh-CN"/>
        </w:rPr>
        <w:t>最大政策效应</w:t>
      </w:r>
      <w:r>
        <w:rPr>
          <w:rFonts w:hint="eastAsia" w:eastAsia="方正仿宋_GBK" w:cs="Times New Roman"/>
          <w:color w:val="auto"/>
          <w:sz w:val="32"/>
          <w:szCs w:val="32"/>
          <w:u w:val="none" w:color="auto"/>
          <w:lang w:val="en-US" w:eastAsia="zh-CN"/>
        </w:rPr>
        <w:t>”</w:t>
      </w:r>
      <w:r>
        <w:rPr>
          <w:rFonts w:hint="default" w:ascii="Times New Roman" w:hAnsi="Times New Roman" w:eastAsia="方正仿宋_GBK" w:cs="Times New Roman"/>
          <w:color w:val="auto"/>
          <w:sz w:val="32"/>
          <w:szCs w:val="32"/>
          <w:u w:val="none" w:color="auto"/>
          <w:lang w:val="en-US" w:eastAsia="zh-CN"/>
        </w:rPr>
        <w:t>，推动全市经济高质量发展。</w:t>
      </w:r>
      <w:r>
        <w:rPr>
          <w:rFonts w:hint="default" w:ascii="Times New Roman" w:hAnsi="Times New Roman" w:eastAsia="方正仿宋_GBK" w:cs="Times New Roman"/>
          <w:i w:val="0"/>
          <w:iCs w:val="0"/>
          <w:caps w:val="0"/>
          <w:color w:val="auto"/>
          <w:spacing w:val="0"/>
          <w:sz w:val="32"/>
          <w:szCs w:val="32"/>
          <w:u w:val="none" w:color="auto"/>
          <w:shd w:val="clear" w:color="auto" w:fill="FFFFFF"/>
        </w:rPr>
        <w:t>对首次入规工业企业</w:t>
      </w:r>
      <w:r>
        <w:rPr>
          <w:rFonts w:hint="default" w:ascii="Times New Roman" w:hAnsi="Times New Roman" w:eastAsia="方正仿宋_GBK" w:cs="Times New Roman"/>
          <w:i w:val="0"/>
          <w:iCs w:val="0"/>
          <w:caps w:val="0"/>
          <w:color w:val="auto"/>
          <w:spacing w:val="0"/>
          <w:sz w:val="32"/>
          <w:szCs w:val="32"/>
          <w:u w:val="none" w:color="auto"/>
          <w:shd w:val="clear" w:color="auto" w:fill="FFFFFF"/>
          <w:lang w:eastAsia="zh-CN"/>
        </w:rPr>
        <w:t>，市财政一次性</w:t>
      </w:r>
      <w:r>
        <w:rPr>
          <w:rFonts w:hint="default" w:ascii="Times New Roman" w:hAnsi="Times New Roman" w:eastAsia="方正仿宋_GBK" w:cs="Times New Roman"/>
          <w:i w:val="0"/>
          <w:iCs w:val="0"/>
          <w:caps w:val="0"/>
          <w:color w:val="auto"/>
          <w:spacing w:val="0"/>
          <w:sz w:val="32"/>
          <w:szCs w:val="32"/>
          <w:u w:val="none" w:color="auto"/>
          <w:shd w:val="clear" w:color="auto" w:fill="FFFFFF"/>
        </w:rPr>
        <w:t>奖励</w:t>
      </w:r>
      <w:r>
        <w:rPr>
          <w:rFonts w:hint="default" w:ascii="Times New Roman" w:hAnsi="Times New Roman" w:eastAsia="方正仿宋_GBK" w:cs="Times New Roman"/>
          <w:i w:val="0"/>
          <w:iCs w:val="0"/>
          <w:caps w:val="0"/>
          <w:color w:val="auto"/>
          <w:spacing w:val="0"/>
          <w:sz w:val="32"/>
          <w:szCs w:val="32"/>
          <w:u w:val="none" w:color="auto"/>
          <w:shd w:val="clear" w:color="auto" w:fill="FFFFFF"/>
          <w:lang w:val="en-US" w:eastAsia="zh-CN"/>
        </w:rPr>
        <w:t>15</w:t>
      </w:r>
      <w:r>
        <w:rPr>
          <w:rFonts w:hint="default" w:ascii="Times New Roman" w:hAnsi="Times New Roman" w:eastAsia="方正仿宋_GBK" w:cs="Times New Roman"/>
          <w:i w:val="0"/>
          <w:iCs w:val="0"/>
          <w:caps w:val="0"/>
          <w:color w:val="auto"/>
          <w:spacing w:val="0"/>
          <w:sz w:val="32"/>
          <w:szCs w:val="32"/>
          <w:u w:val="none" w:color="auto"/>
          <w:shd w:val="clear" w:color="auto" w:fill="FFFFFF"/>
        </w:rPr>
        <w:t>万元</w:t>
      </w:r>
      <w:r>
        <w:rPr>
          <w:rFonts w:hint="default" w:ascii="Times New Roman" w:hAnsi="Times New Roman" w:eastAsia="方正仿宋_GBK" w:cs="Times New Roman"/>
          <w:color w:val="auto"/>
          <w:sz w:val="32"/>
          <w:szCs w:val="32"/>
          <w:u w:val="none" w:color="auto"/>
          <w:lang w:val="en-US" w:eastAsia="zh-CN"/>
        </w:rPr>
        <w:t>，</w:t>
      </w:r>
      <w:r>
        <w:rPr>
          <w:rFonts w:hint="eastAsia" w:eastAsia="方正仿宋_GBK" w:cs="Times New Roman"/>
          <w:color w:val="auto"/>
          <w:sz w:val="32"/>
          <w:szCs w:val="32"/>
          <w:u w:val="none" w:color="auto"/>
          <w:lang w:val="en-US" w:eastAsia="zh-CN"/>
        </w:rPr>
        <w:t>“</w:t>
      </w:r>
      <w:r>
        <w:rPr>
          <w:rFonts w:hint="default" w:ascii="Times New Roman" w:hAnsi="Times New Roman" w:eastAsia="方正仿宋_GBK" w:cs="Times New Roman"/>
          <w:color w:val="auto"/>
          <w:sz w:val="32"/>
          <w:szCs w:val="32"/>
          <w:u w:val="none" w:color="auto"/>
          <w:lang w:val="en-US" w:eastAsia="zh-CN"/>
        </w:rPr>
        <w:t>免申即享</w:t>
      </w:r>
      <w:r>
        <w:rPr>
          <w:rFonts w:hint="eastAsia" w:eastAsia="方正仿宋_GBK" w:cs="Times New Roman"/>
          <w:color w:val="auto"/>
          <w:sz w:val="32"/>
          <w:szCs w:val="32"/>
          <w:u w:val="none" w:color="auto"/>
          <w:lang w:val="en-US" w:eastAsia="zh-CN"/>
        </w:rPr>
        <w:t>”</w:t>
      </w:r>
      <w:r>
        <w:rPr>
          <w:rFonts w:hint="default" w:ascii="Times New Roman" w:hAnsi="Times New Roman" w:eastAsia="方正仿宋_GBK" w:cs="Times New Roman"/>
          <w:color w:val="auto"/>
          <w:sz w:val="32"/>
          <w:szCs w:val="32"/>
          <w:u w:val="none" w:color="auto"/>
          <w:lang w:val="en-US" w:eastAsia="zh-CN"/>
        </w:rPr>
        <w:t>，次月兑现，各</w:t>
      </w:r>
      <w:r>
        <w:rPr>
          <w:rFonts w:hint="default" w:ascii="Times New Roman" w:hAnsi="Times New Roman" w:eastAsia="方正仿宋_GBK" w:cs="Times New Roman"/>
          <w:i w:val="0"/>
          <w:iCs w:val="0"/>
          <w:caps w:val="0"/>
          <w:color w:val="auto"/>
          <w:spacing w:val="0"/>
          <w:sz w:val="32"/>
          <w:szCs w:val="32"/>
          <w:u w:val="none" w:color="auto"/>
          <w:shd w:val="clear" w:color="auto" w:fill="FFFFFF"/>
          <w:lang w:eastAsia="zh-CN"/>
        </w:rPr>
        <w:t>县、区相应配套奖励资金</w:t>
      </w:r>
      <w:r>
        <w:rPr>
          <w:rFonts w:hint="eastAsia" w:eastAsia="方正仿宋_GBK" w:cs="Times New Roman"/>
          <w:i w:val="0"/>
          <w:iCs w:val="0"/>
          <w:caps w:val="0"/>
          <w:color w:val="auto"/>
          <w:spacing w:val="0"/>
          <w:sz w:val="32"/>
          <w:szCs w:val="32"/>
          <w:u w:val="none" w:color="auto"/>
          <w:shd w:val="clear" w:color="auto" w:fill="FFFFFF"/>
          <w:lang w:eastAsia="zh-CN"/>
        </w:rPr>
        <w:t>；</w:t>
      </w:r>
      <w:r>
        <w:rPr>
          <w:rFonts w:hint="default" w:ascii="Times New Roman" w:hAnsi="Times New Roman" w:eastAsia="方正仿宋_GBK" w:cs="Times New Roman"/>
          <w:color w:val="auto"/>
          <w:sz w:val="32"/>
          <w:szCs w:val="32"/>
          <w:u w:val="none" w:color="auto"/>
          <w:lang w:val="en-US" w:eastAsia="zh-CN"/>
        </w:rPr>
        <w:t>对</w:t>
      </w:r>
      <w:r>
        <w:rPr>
          <w:rFonts w:hint="eastAsia" w:eastAsia="方正仿宋_GBK" w:cs="Times New Roman"/>
          <w:color w:val="auto"/>
          <w:sz w:val="32"/>
          <w:szCs w:val="32"/>
          <w:u w:val="none" w:color="auto"/>
          <w:lang w:val="en-US" w:eastAsia="zh-CN"/>
        </w:rPr>
        <w:t>首次入规</w:t>
      </w:r>
      <w:r>
        <w:rPr>
          <w:rFonts w:hint="default" w:ascii="Times New Roman" w:hAnsi="Times New Roman" w:eastAsia="方正仿宋_GBK" w:cs="Times New Roman"/>
          <w:color w:val="auto"/>
          <w:sz w:val="32"/>
          <w:szCs w:val="32"/>
          <w:u w:val="none" w:color="auto"/>
          <w:lang w:val="en-US" w:eastAsia="zh-CN"/>
        </w:rPr>
        <w:t>正常生产并连续在库统计不足一年的</w:t>
      </w:r>
      <w:r>
        <w:rPr>
          <w:rFonts w:hint="eastAsia" w:eastAsia="方正仿宋_GBK" w:cs="Times New Roman"/>
          <w:color w:val="auto"/>
          <w:sz w:val="32"/>
          <w:szCs w:val="32"/>
          <w:u w:val="none" w:color="auto"/>
          <w:lang w:val="en-US" w:eastAsia="zh-CN"/>
        </w:rPr>
        <w:t>工业</w:t>
      </w:r>
      <w:r>
        <w:rPr>
          <w:rFonts w:hint="default" w:ascii="Times New Roman" w:hAnsi="Times New Roman" w:eastAsia="方正仿宋_GBK" w:cs="Times New Roman"/>
          <w:color w:val="auto"/>
          <w:sz w:val="32"/>
          <w:szCs w:val="32"/>
          <w:u w:val="none" w:color="auto"/>
          <w:lang w:val="en-US" w:eastAsia="zh-CN"/>
        </w:rPr>
        <w:t>企业，奖励资金予以追回。</w:t>
      </w:r>
      <w:bookmarkStart w:id="0" w:name="_GoBack"/>
      <w:bookmarkEnd w:id="0"/>
    </w:p>
    <w:p w14:paraId="7B95179C">
      <w:pPr>
        <w:pStyle w:val="1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90" w:lineRule="exact"/>
        <w:ind w:left="0" w:leftChars="0" w:right="0" w:rightChars="0" w:firstLine="640" w:firstLineChars="200"/>
        <w:jc w:val="both"/>
        <w:textAlignment w:val="auto"/>
        <w:rPr>
          <w:rFonts w:hint="default" w:ascii="Times New Roman" w:hAnsi="Times New Roman" w:eastAsia="方正仿宋_GBK" w:cs="Times New Roman"/>
          <w:i w:val="0"/>
          <w:iCs w:val="0"/>
          <w:caps w:val="0"/>
          <w:color w:val="auto"/>
          <w:spacing w:val="0"/>
          <w:kern w:val="2"/>
          <w:sz w:val="32"/>
          <w:szCs w:val="32"/>
          <w:u w:val="none" w:color="auto"/>
          <w:shd w:val="clear" w:color="auto" w:fill="FFFFFF"/>
          <w:lang w:val="en-US" w:eastAsia="zh-CN"/>
        </w:rPr>
      </w:pPr>
      <w:r>
        <w:rPr>
          <w:rFonts w:hint="default" w:ascii="方正楷体_GBK" w:hAnsi="方正楷体_GBK" w:eastAsia="方正楷体_GBK" w:cs="方正楷体_GBK"/>
          <w:color w:val="auto"/>
          <w:kern w:val="2"/>
          <w:sz w:val="32"/>
          <w:szCs w:val="32"/>
          <w:highlight w:val="none"/>
          <w:u w:val="none" w:color="auto"/>
          <w:lang w:val="en-US" w:eastAsia="zh-CN"/>
        </w:rPr>
        <w:t>（四）考核评比落实到载体。</w:t>
      </w:r>
      <w:r>
        <w:rPr>
          <w:rFonts w:hint="default" w:ascii="Times New Roman" w:hAnsi="Times New Roman" w:eastAsia="方正仿宋_GBK" w:cs="Times New Roman"/>
          <w:i w:val="0"/>
          <w:iCs w:val="0"/>
          <w:caps w:val="0"/>
          <w:color w:val="auto"/>
          <w:spacing w:val="0"/>
          <w:kern w:val="2"/>
          <w:sz w:val="32"/>
          <w:szCs w:val="32"/>
          <w:u w:val="none" w:color="auto"/>
          <w:shd w:val="clear" w:color="auto" w:fill="FFFFFF"/>
          <w:lang w:val="en-US" w:eastAsia="zh-CN"/>
        </w:rPr>
        <w:t>2022年2月底前，全市及各县、区要分类建库，排出包保名单，3月份开展全面调研、走访，搜集、整理企业反映问题，建立问题清单，明确责任单位、人员、解决时限。建立定期通报表扬机制，市经信局每月对各县、区扶优育规情况进行通报，对新入规企业进行表扬奖励</w:t>
      </w:r>
      <w:r>
        <w:rPr>
          <w:rFonts w:hint="eastAsia" w:eastAsia="方正仿宋_GBK" w:cs="Times New Roman"/>
          <w:i w:val="0"/>
          <w:iCs w:val="0"/>
          <w:caps w:val="0"/>
          <w:color w:val="auto"/>
          <w:spacing w:val="0"/>
          <w:kern w:val="2"/>
          <w:sz w:val="32"/>
          <w:szCs w:val="32"/>
          <w:u w:val="none" w:color="auto"/>
          <w:shd w:val="clear" w:color="auto" w:fill="FFFFFF"/>
          <w:lang w:val="en-US" w:eastAsia="zh-CN"/>
        </w:rPr>
        <w:t>；市政府负责同志</w:t>
      </w:r>
      <w:r>
        <w:rPr>
          <w:rFonts w:hint="default" w:ascii="Times New Roman" w:hAnsi="Times New Roman" w:eastAsia="方正仿宋_GBK" w:cs="Times New Roman"/>
          <w:i w:val="0"/>
          <w:iCs w:val="0"/>
          <w:caps w:val="0"/>
          <w:color w:val="auto"/>
          <w:spacing w:val="0"/>
          <w:kern w:val="2"/>
          <w:sz w:val="32"/>
          <w:szCs w:val="32"/>
          <w:u w:val="none" w:color="auto"/>
          <w:shd w:val="clear" w:color="auto" w:fill="FFFFFF"/>
          <w:lang w:val="en-US" w:eastAsia="zh-CN"/>
        </w:rPr>
        <w:t>每季度</w:t>
      </w:r>
      <w:r>
        <w:rPr>
          <w:rFonts w:hint="eastAsia" w:eastAsia="方正仿宋_GBK" w:cs="Times New Roman"/>
          <w:i w:val="0"/>
          <w:iCs w:val="0"/>
          <w:caps w:val="0"/>
          <w:color w:val="auto"/>
          <w:spacing w:val="0"/>
          <w:kern w:val="2"/>
          <w:sz w:val="32"/>
          <w:szCs w:val="32"/>
          <w:u w:val="none" w:color="auto"/>
          <w:shd w:val="clear" w:color="auto" w:fill="FFFFFF"/>
          <w:lang w:val="en-US" w:eastAsia="zh-CN"/>
        </w:rPr>
        <w:t>进行</w:t>
      </w:r>
      <w:r>
        <w:rPr>
          <w:rFonts w:hint="default" w:ascii="Times New Roman" w:hAnsi="Times New Roman" w:eastAsia="方正仿宋_GBK" w:cs="Times New Roman"/>
          <w:i w:val="0"/>
          <w:iCs w:val="0"/>
          <w:caps w:val="0"/>
          <w:color w:val="auto"/>
          <w:spacing w:val="0"/>
          <w:kern w:val="2"/>
          <w:sz w:val="32"/>
          <w:szCs w:val="32"/>
          <w:u w:val="none" w:color="auto"/>
          <w:shd w:val="clear" w:color="auto" w:fill="FFFFFF"/>
          <w:lang w:val="en-US" w:eastAsia="zh-CN"/>
        </w:rPr>
        <w:t>调度、表扬。市经信局会同市</w:t>
      </w:r>
      <w:r>
        <w:rPr>
          <w:rFonts w:hint="eastAsia" w:eastAsia="方正仿宋_GBK" w:cs="Times New Roman"/>
          <w:i w:val="0"/>
          <w:iCs w:val="0"/>
          <w:caps w:val="0"/>
          <w:color w:val="auto"/>
          <w:spacing w:val="0"/>
          <w:kern w:val="2"/>
          <w:sz w:val="32"/>
          <w:szCs w:val="32"/>
          <w:u w:val="none" w:color="auto"/>
          <w:shd w:val="clear" w:color="auto" w:fill="FFFFFF"/>
          <w:lang w:val="en-US" w:eastAsia="zh-CN"/>
        </w:rPr>
        <w:t>政府</w:t>
      </w:r>
      <w:r>
        <w:rPr>
          <w:rFonts w:hint="default" w:ascii="Times New Roman" w:hAnsi="Times New Roman" w:eastAsia="方正仿宋_GBK" w:cs="Times New Roman"/>
          <w:i w:val="0"/>
          <w:iCs w:val="0"/>
          <w:caps w:val="0"/>
          <w:color w:val="auto"/>
          <w:spacing w:val="0"/>
          <w:kern w:val="2"/>
          <w:sz w:val="32"/>
          <w:szCs w:val="32"/>
          <w:u w:val="none" w:color="auto"/>
          <w:shd w:val="clear" w:color="auto" w:fill="FFFFFF"/>
          <w:lang w:val="en-US" w:eastAsia="zh-CN"/>
        </w:rPr>
        <w:t>督查考核办不定期对各县、区调研、走访及解决问题情况进行督查督办。市经信局会同市</w:t>
      </w:r>
      <w:r>
        <w:rPr>
          <w:rFonts w:hint="eastAsia" w:eastAsia="方正仿宋_GBK" w:cs="Times New Roman"/>
          <w:i w:val="0"/>
          <w:iCs w:val="0"/>
          <w:caps w:val="0"/>
          <w:color w:val="auto"/>
          <w:spacing w:val="0"/>
          <w:kern w:val="2"/>
          <w:sz w:val="32"/>
          <w:szCs w:val="32"/>
          <w:u w:val="none" w:color="auto"/>
          <w:shd w:val="clear" w:color="auto" w:fill="FFFFFF"/>
          <w:lang w:val="en-US" w:eastAsia="zh-CN"/>
        </w:rPr>
        <w:t>政府</w:t>
      </w:r>
      <w:r>
        <w:rPr>
          <w:rFonts w:hint="default" w:ascii="Times New Roman" w:hAnsi="Times New Roman" w:eastAsia="方正仿宋_GBK" w:cs="Times New Roman"/>
          <w:i w:val="0"/>
          <w:iCs w:val="0"/>
          <w:caps w:val="0"/>
          <w:color w:val="auto"/>
          <w:spacing w:val="0"/>
          <w:kern w:val="2"/>
          <w:sz w:val="32"/>
          <w:szCs w:val="32"/>
          <w:u w:val="none" w:color="auto"/>
          <w:shd w:val="clear" w:color="auto" w:fill="FFFFFF"/>
          <w:lang w:val="en-US" w:eastAsia="zh-CN"/>
        </w:rPr>
        <w:t>督查考核办、市统计局制定扶优育规考核评比办法，建立定期考核评比工作机制，并将各县、区工作落实情况纳入市对县区目标管理绩效考核。</w:t>
      </w:r>
    </w:p>
    <w:p w14:paraId="139860B3">
      <w:pPr>
        <w:pStyle w:val="1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90" w:lineRule="exact"/>
        <w:ind w:left="0" w:leftChars="0" w:right="0" w:rightChars="0" w:firstLine="640" w:firstLineChars="200"/>
        <w:jc w:val="both"/>
        <w:textAlignment w:val="auto"/>
        <w:rPr>
          <w:rFonts w:hint="default" w:ascii="Times New Roman" w:hAnsi="Times New Roman" w:eastAsia="方正仿宋_GBK" w:cs="Times New Roman"/>
          <w:i w:val="0"/>
          <w:iCs w:val="0"/>
          <w:caps w:val="0"/>
          <w:color w:val="auto"/>
          <w:spacing w:val="0"/>
          <w:kern w:val="2"/>
          <w:sz w:val="32"/>
          <w:szCs w:val="32"/>
          <w:u w:val="none" w:color="auto"/>
          <w:shd w:val="clear" w:color="auto" w:fill="FFFFFF"/>
          <w:lang w:val="en-US" w:eastAsia="zh-CN"/>
        </w:rPr>
      </w:pPr>
    </w:p>
    <w:p w14:paraId="2E65DB91">
      <w:pPr>
        <w:keepNext w:val="0"/>
        <w:keepLines w:val="0"/>
        <w:pageBreakBefore w:val="0"/>
        <w:widowControl w:val="0"/>
        <w:kinsoku/>
        <w:wordWrap/>
        <w:overflowPunct/>
        <w:topLinePunct w:val="0"/>
        <w:autoSpaceDE/>
        <w:autoSpaceDN/>
        <w:bidi w:val="0"/>
        <w:adjustRightInd/>
        <w:snapToGrid/>
        <w:spacing w:afterAutospacing="0" w:line="59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i w:val="0"/>
          <w:iCs w:val="0"/>
          <w:caps w:val="0"/>
          <w:color w:val="auto"/>
          <w:spacing w:val="0"/>
          <w:sz w:val="32"/>
          <w:szCs w:val="32"/>
          <w:u w:val="none" w:color="auto"/>
          <w:shd w:val="clear" w:color="auto" w:fill="FFFFFF"/>
          <w:lang w:eastAsia="zh-CN"/>
        </w:rPr>
        <w:t>附</w:t>
      </w:r>
      <w:r>
        <w:rPr>
          <w:rFonts w:hint="eastAsia" w:eastAsia="方正仿宋_GBK" w:cs="Times New Roman"/>
          <w:i w:val="0"/>
          <w:iCs w:val="0"/>
          <w:caps w:val="0"/>
          <w:color w:val="auto"/>
          <w:spacing w:val="0"/>
          <w:sz w:val="32"/>
          <w:szCs w:val="32"/>
          <w:u w:val="none" w:color="auto"/>
          <w:shd w:val="clear" w:color="auto" w:fill="FFFFFF"/>
          <w:lang w:eastAsia="zh-CN"/>
        </w:rPr>
        <w:t>件</w:t>
      </w:r>
      <w:r>
        <w:rPr>
          <w:rFonts w:hint="default" w:ascii="Times New Roman" w:hAnsi="Times New Roman" w:eastAsia="方正仿宋_GBK" w:cs="Times New Roman"/>
          <w:i w:val="0"/>
          <w:iCs w:val="0"/>
          <w:caps w:val="0"/>
          <w:color w:val="auto"/>
          <w:spacing w:val="0"/>
          <w:sz w:val="32"/>
          <w:szCs w:val="32"/>
          <w:u w:val="none" w:color="auto"/>
          <w:shd w:val="clear" w:color="auto" w:fill="FFFFFF"/>
          <w:lang w:eastAsia="zh-CN"/>
        </w:rPr>
        <w:t>：包保企业问题</w:t>
      </w:r>
      <w:r>
        <w:rPr>
          <w:rFonts w:hint="default" w:ascii="Times New Roman" w:hAnsi="Times New Roman" w:eastAsia="方正仿宋_GBK" w:cs="Times New Roman"/>
          <w:i w:val="0"/>
          <w:iCs w:val="0"/>
          <w:caps w:val="0"/>
          <w:color w:val="auto"/>
          <w:spacing w:val="0"/>
          <w:sz w:val="32"/>
          <w:szCs w:val="32"/>
          <w:u w:val="none" w:color="auto"/>
          <w:shd w:val="clear" w:color="auto" w:fill="FFFFFF"/>
          <w:lang w:val="en-US" w:eastAsia="zh-CN"/>
        </w:rPr>
        <w:t>清单汇总表</w:t>
      </w:r>
    </w:p>
    <w:p w14:paraId="0945E7CE">
      <w:pPr>
        <w:pStyle w:val="1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0" w:firstLineChars="0"/>
        <w:jc w:val="both"/>
        <w:textAlignment w:val="auto"/>
        <w:outlineLvl w:val="0"/>
        <w:rPr>
          <w:rFonts w:hint="eastAsia" w:ascii="方正黑体_GBK" w:hAnsi="方正黑体_GBK" w:eastAsia="方正黑体_GBK" w:cs="方正黑体_GBK"/>
          <w:i w:val="0"/>
          <w:iCs w:val="0"/>
          <w:caps w:val="0"/>
          <w:color w:val="auto"/>
          <w:spacing w:val="0"/>
          <w:sz w:val="44"/>
          <w:szCs w:val="44"/>
          <w:u w:val="none" w:color="auto"/>
          <w:shd w:val="clear" w:color="auto" w:fill="FFFFFF"/>
          <w:lang w:val="en-US" w:eastAsia="zh-CN"/>
        </w:rPr>
      </w:pPr>
      <w:r>
        <w:rPr>
          <w:rFonts w:hint="eastAsia" w:ascii="方正黑体_GBK" w:hAnsi="方正黑体_GBK" w:eastAsia="方正黑体_GBK" w:cs="方正黑体_GBK"/>
          <w:i w:val="0"/>
          <w:iCs w:val="0"/>
          <w:caps w:val="0"/>
          <w:color w:val="auto"/>
          <w:spacing w:val="0"/>
          <w:sz w:val="32"/>
          <w:szCs w:val="32"/>
          <w:u w:val="none" w:color="auto"/>
          <w:shd w:val="clear" w:color="auto" w:fill="FFFFFF"/>
          <w:lang w:val="en-US" w:eastAsia="zh-CN"/>
        </w:rPr>
        <w:t>附件</w:t>
      </w:r>
    </w:p>
    <w:p w14:paraId="14354D66">
      <w:pPr>
        <w:pStyle w:val="1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880" w:firstLineChars="200"/>
        <w:jc w:val="center"/>
        <w:textAlignment w:val="auto"/>
        <w:outlineLvl w:val="0"/>
        <w:rPr>
          <w:rFonts w:hint="eastAsia" w:ascii="方正小标宋简体" w:hAnsi="方正小标宋简体" w:eastAsia="方正小标宋简体" w:cs="方正小标宋简体"/>
          <w:i w:val="0"/>
          <w:iCs w:val="0"/>
          <w:caps w:val="0"/>
          <w:color w:val="auto"/>
          <w:spacing w:val="0"/>
          <w:sz w:val="44"/>
          <w:szCs w:val="44"/>
          <w:u w:val="none" w:color="auto"/>
          <w:shd w:val="clear" w:color="auto" w:fill="FFFFFF"/>
          <w:lang w:val="en-US" w:eastAsia="zh-CN"/>
        </w:rPr>
      </w:pPr>
    </w:p>
    <w:p w14:paraId="627AA144">
      <w:pPr>
        <w:pStyle w:val="1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880" w:firstLineChars="200"/>
        <w:jc w:val="center"/>
        <w:textAlignment w:val="auto"/>
        <w:outlineLvl w:val="0"/>
        <w:rPr>
          <w:rFonts w:hint="eastAsia" w:ascii="方正小标宋_GBK" w:hAnsi="方正小标宋_GBK" w:eastAsia="方正小标宋_GBK" w:cs="方正小标宋_GBK"/>
          <w:i w:val="0"/>
          <w:iCs w:val="0"/>
          <w:caps w:val="0"/>
          <w:color w:val="auto"/>
          <w:spacing w:val="0"/>
          <w:sz w:val="44"/>
          <w:szCs w:val="44"/>
          <w:u w:val="none" w:color="auto"/>
          <w:shd w:val="clear" w:color="auto" w:fill="FFFFFF"/>
          <w:lang w:val="en-US" w:eastAsia="zh-CN"/>
        </w:rPr>
      </w:pPr>
      <w:r>
        <w:rPr>
          <w:rFonts w:hint="eastAsia" w:ascii="方正小标宋_GBK" w:hAnsi="方正小标宋_GBK" w:eastAsia="方正小标宋_GBK" w:cs="方正小标宋_GBK"/>
          <w:i w:val="0"/>
          <w:iCs w:val="0"/>
          <w:caps w:val="0"/>
          <w:color w:val="auto"/>
          <w:spacing w:val="0"/>
          <w:sz w:val="44"/>
          <w:szCs w:val="44"/>
          <w:u w:val="none" w:color="auto"/>
          <w:shd w:val="clear" w:color="auto" w:fill="FFFFFF"/>
          <w:lang w:val="en-US" w:eastAsia="zh-CN"/>
        </w:rPr>
        <w:t>包保企业问题清单汇总表</w:t>
      </w:r>
    </w:p>
    <w:tbl>
      <w:tblPr>
        <w:tblStyle w:val="7"/>
        <w:tblW w:w="10116" w:type="dxa"/>
        <w:tblInd w:w="-9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93"/>
        <w:gridCol w:w="1639"/>
        <w:gridCol w:w="489"/>
        <w:gridCol w:w="2379"/>
        <w:gridCol w:w="966"/>
        <w:gridCol w:w="1963"/>
        <w:gridCol w:w="888"/>
        <w:gridCol w:w="622"/>
        <w:gridCol w:w="677"/>
      </w:tblGrid>
      <w:tr w14:paraId="4D6EFF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92" w:hRule="atLeast"/>
        </w:trPr>
        <w:tc>
          <w:tcPr>
            <w:tcW w:w="493" w:type="dxa"/>
            <w:tcBorders>
              <w:top w:val="single" w:color="000000" w:sz="4" w:space="0"/>
              <w:left w:val="single" w:color="000000" w:sz="4" w:space="0"/>
              <w:bottom w:val="single" w:color="000000" w:sz="4" w:space="0"/>
              <w:right w:val="single" w:color="000000" w:sz="4" w:space="0"/>
            </w:tcBorders>
            <w:noWrap w:val="0"/>
            <w:vAlign w:val="center"/>
          </w:tcPr>
          <w:p w14:paraId="1A8EE345">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right="0" w:rightChars="0" w:firstLine="0" w:firstLineChars="0"/>
              <w:jc w:val="center"/>
              <w:textAlignment w:val="center"/>
              <w:outlineLvl w:val="9"/>
              <w:rPr>
                <w:rFonts w:hint="eastAsia" w:ascii="方正黑体_GBK" w:hAnsi="方正黑体_GBK" w:eastAsia="方正黑体_GBK" w:cs="方正黑体_GBK"/>
                <w:b w:val="0"/>
                <w:bCs w:val="0"/>
                <w:i w:val="0"/>
                <w:iCs w:val="0"/>
                <w:color w:val="auto"/>
                <w:sz w:val="21"/>
                <w:szCs w:val="21"/>
                <w:u w:val="none" w:color="auto"/>
              </w:rPr>
            </w:pPr>
            <w:r>
              <w:rPr>
                <w:rFonts w:hint="eastAsia" w:ascii="方正黑体_GBK" w:hAnsi="方正黑体_GBK" w:eastAsia="方正黑体_GBK" w:cs="方正黑体_GBK"/>
                <w:b w:val="0"/>
                <w:bCs w:val="0"/>
                <w:i w:val="0"/>
                <w:iCs w:val="0"/>
                <w:color w:val="auto"/>
                <w:kern w:val="0"/>
                <w:sz w:val="21"/>
                <w:szCs w:val="21"/>
                <w:u w:val="none" w:color="auto"/>
                <w:lang w:val="en-US" w:eastAsia="zh-CN" w:bidi="ar"/>
              </w:rPr>
              <w:t>序号</w:t>
            </w:r>
          </w:p>
        </w:tc>
        <w:tc>
          <w:tcPr>
            <w:tcW w:w="1639" w:type="dxa"/>
            <w:tcBorders>
              <w:top w:val="single" w:color="000000" w:sz="4" w:space="0"/>
              <w:left w:val="single" w:color="000000" w:sz="4" w:space="0"/>
              <w:bottom w:val="single" w:color="000000" w:sz="4" w:space="0"/>
              <w:right w:val="single" w:color="000000" w:sz="4" w:space="0"/>
            </w:tcBorders>
            <w:noWrap w:val="0"/>
            <w:vAlign w:val="center"/>
          </w:tcPr>
          <w:p w14:paraId="65F911D2">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right="0" w:rightChars="0" w:firstLine="0" w:firstLineChars="0"/>
              <w:jc w:val="center"/>
              <w:textAlignment w:val="center"/>
              <w:outlineLvl w:val="9"/>
              <w:rPr>
                <w:rFonts w:hint="eastAsia" w:ascii="方正黑体_GBK" w:hAnsi="方正黑体_GBK" w:eastAsia="方正黑体_GBK" w:cs="方正黑体_GBK"/>
                <w:b w:val="0"/>
                <w:bCs w:val="0"/>
                <w:i w:val="0"/>
                <w:iCs w:val="0"/>
                <w:color w:val="auto"/>
                <w:sz w:val="21"/>
                <w:szCs w:val="21"/>
                <w:u w:val="none" w:color="auto"/>
              </w:rPr>
            </w:pPr>
            <w:r>
              <w:rPr>
                <w:rFonts w:hint="eastAsia" w:ascii="方正黑体_GBK" w:hAnsi="方正黑体_GBK" w:eastAsia="方正黑体_GBK" w:cs="方正黑体_GBK"/>
                <w:b w:val="0"/>
                <w:bCs w:val="0"/>
                <w:i w:val="0"/>
                <w:iCs w:val="0"/>
                <w:color w:val="auto"/>
                <w:kern w:val="0"/>
                <w:sz w:val="21"/>
                <w:szCs w:val="21"/>
                <w:u w:val="none" w:color="auto"/>
                <w:lang w:val="en-US" w:eastAsia="zh-CN" w:bidi="ar"/>
              </w:rPr>
              <w:t>企业名称</w:t>
            </w:r>
          </w:p>
        </w:tc>
        <w:tc>
          <w:tcPr>
            <w:tcW w:w="489" w:type="dxa"/>
            <w:tcBorders>
              <w:top w:val="single" w:color="000000" w:sz="4" w:space="0"/>
              <w:left w:val="single" w:color="000000" w:sz="4" w:space="0"/>
              <w:bottom w:val="single" w:color="000000" w:sz="4" w:space="0"/>
              <w:right w:val="single" w:color="000000" w:sz="4" w:space="0"/>
            </w:tcBorders>
            <w:noWrap w:val="0"/>
            <w:vAlign w:val="center"/>
          </w:tcPr>
          <w:p w14:paraId="4872CE54">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right="0" w:rightChars="0" w:firstLine="0" w:firstLineChars="0"/>
              <w:jc w:val="center"/>
              <w:textAlignment w:val="center"/>
              <w:outlineLvl w:val="9"/>
              <w:rPr>
                <w:rFonts w:hint="eastAsia" w:ascii="方正黑体_GBK" w:hAnsi="方正黑体_GBK" w:eastAsia="方正黑体_GBK" w:cs="方正黑体_GBK"/>
                <w:b w:val="0"/>
                <w:bCs w:val="0"/>
                <w:i w:val="0"/>
                <w:iCs w:val="0"/>
                <w:color w:val="auto"/>
                <w:sz w:val="21"/>
                <w:szCs w:val="21"/>
                <w:u w:val="none" w:color="auto"/>
                <w:lang w:val="en-US" w:eastAsia="zh-CN"/>
              </w:rPr>
            </w:pPr>
            <w:r>
              <w:rPr>
                <w:rFonts w:hint="eastAsia" w:ascii="方正黑体_GBK" w:hAnsi="方正黑体_GBK" w:eastAsia="方正黑体_GBK" w:cs="方正黑体_GBK"/>
                <w:b w:val="0"/>
                <w:bCs w:val="0"/>
                <w:i w:val="0"/>
                <w:iCs w:val="0"/>
                <w:color w:val="auto"/>
                <w:sz w:val="21"/>
                <w:szCs w:val="21"/>
                <w:u w:val="none" w:color="auto"/>
                <w:lang w:val="en-US" w:eastAsia="zh-CN"/>
              </w:rPr>
              <w:t>所在县区</w:t>
            </w:r>
          </w:p>
        </w:tc>
        <w:tc>
          <w:tcPr>
            <w:tcW w:w="2379" w:type="dxa"/>
            <w:tcBorders>
              <w:top w:val="single" w:color="000000" w:sz="4" w:space="0"/>
              <w:left w:val="single" w:color="000000" w:sz="4" w:space="0"/>
              <w:bottom w:val="single" w:color="000000" w:sz="4" w:space="0"/>
              <w:right w:val="single" w:color="000000" w:sz="4" w:space="0"/>
            </w:tcBorders>
            <w:noWrap w:val="0"/>
            <w:vAlign w:val="center"/>
          </w:tcPr>
          <w:p w14:paraId="475E1B89">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right="0" w:rightChars="0" w:firstLine="0" w:firstLineChars="0"/>
              <w:jc w:val="center"/>
              <w:textAlignment w:val="center"/>
              <w:outlineLvl w:val="9"/>
              <w:rPr>
                <w:rFonts w:hint="eastAsia" w:ascii="方正黑体_GBK" w:hAnsi="方正黑体_GBK" w:eastAsia="方正黑体_GBK" w:cs="方正黑体_GBK"/>
                <w:b w:val="0"/>
                <w:bCs w:val="0"/>
                <w:i w:val="0"/>
                <w:iCs w:val="0"/>
                <w:color w:val="auto"/>
                <w:sz w:val="21"/>
                <w:szCs w:val="21"/>
                <w:u w:val="none" w:color="auto"/>
                <w:lang w:val="en-US"/>
              </w:rPr>
            </w:pPr>
            <w:r>
              <w:rPr>
                <w:rFonts w:hint="eastAsia" w:ascii="方正黑体_GBK" w:hAnsi="方正黑体_GBK" w:eastAsia="方正黑体_GBK" w:cs="方正黑体_GBK"/>
                <w:b w:val="0"/>
                <w:bCs w:val="0"/>
                <w:i w:val="0"/>
                <w:iCs w:val="0"/>
                <w:color w:val="auto"/>
                <w:kern w:val="0"/>
                <w:sz w:val="21"/>
                <w:szCs w:val="21"/>
                <w:u w:val="none" w:color="auto"/>
                <w:lang w:val="en-US" w:eastAsia="zh-CN" w:bidi="ar"/>
              </w:rPr>
              <w:t>企业提出的具体困难、问题</w:t>
            </w:r>
          </w:p>
        </w:tc>
        <w:tc>
          <w:tcPr>
            <w:tcW w:w="966" w:type="dxa"/>
            <w:tcBorders>
              <w:top w:val="single" w:color="000000" w:sz="4" w:space="0"/>
              <w:left w:val="single" w:color="000000" w:sz="4" w:space="0"/>
              <w:bottom w:val="single" w:color="000000" w:sz="4" w:space="0"/>
              <w:right w:val="single" w:color="000000" w:sz="4" w:space="0"/>
            </w:tcBorders>
            <w:noWrap w:val="0"/>
            <w:vAlign w:val="center"/>
          </w:tcPr>
          <w:p w14:paraId="1A0D562F">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right="0" w:rightChars="0" w:firstLine="0" w:firstLineChars="0"/>
              <w:jc w:val="center"/>
              <w:textAlignment w:val="center"/>
              <w:outlineLvl w:val="9"/>
              <w:rPr>
                <w:rFonts w:hint="eastAsia" w:ascii="方正黑体_GBK" w:hAnsi="方正黑体_GBK" w:eastAsia="方正黑体_GBK" w:cs="方正黑体_GBK"/>
                <w:b w:val="0"/>
                <w:bCs w:val="0"/>
                <w:i w:val="0"/>
                <w:iCs w:val="0"/>
                <w:color w:val="auto"/>
                <w:kern w:val="2"/>
                <w:sz w:val="21"/>
                <w:szCs w:val="21"/>
                <w:u w:val="none" w:color="auto"/>
                <w:lang w:val="en-US" w:eastAsia="zh-CN"/>
              </w:rPr>
            </w:pPr>
            <w:r>
              <w:rPr>
                <w:rFonts w:hint="eastAsia" w:ascii="方正黑体_GBK" w:hAnsi="方正黑体_GBK" w:eastAsia="方正黑体_GBK" w:cs="方正黑体_GBK"/>
                <w:b w:val="0"/>
                <w:bCs w:val="0"/>
                <w:i w:val="0"/>
                <w:iCs w:val="0"/>
                <w:color w:val="auto"/>
                <w:kern w:val="0"/>
                <w:sz w:val="21"/>
                <w:szCs w:val="21"/>
                <w:u w:val="none" w:color="auto"/>
                <w:lang w:val="en-US" w:eastAsia="zh-CN" w:bidi="ar"/>
              </w:rPr>
              <w:t>问题类型</w:t>
            </w:r>
          </w:p>
        </w:tc>
        <w:tc>
          <w:tcPr>
            <w:tcW w:w="1963" w:type="dxa"/>
            <w:tcBorders>
              <w:top w:val="single" w:color="000000" w:sz="4" w:space="0"/>
              <w:left w:val="single" w:color="000000" w:sz="4" w:space="0"/>
              <w:bottom w:val="single" w:color="000000" w:sz="4" w:space="0"/>
              <w:right w:val="single" w:color="000000" w:sz="4" w:space="0"/>
            </w:tcBorders>
            <w:noWrap w:val="0"/>
            <w:vAlign w:val="center"/>
          </w:tcPr>
          <w:p w14:paraId="628725CB">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right="0" w:rightChars="0" w:firstLine="0" w:firstLineChars="0"/>
              <w:jc w:val="center"/>
              <w:textAlignment w:val="center"/>
              <w:outlineLvl w:val="9"/>
              <w:rPr>
                <w:rFonts w:hint="eastAsia" w:ascii="方正黑体_GBK" w:hAnsi="方正黑体_GBK" w:eastAsia="方正黑体_GBK" w:cs="方正黑体_GBK"/>
                <w:b w:val="0"/>
                <w:bCs w:val="0"/>
                <w:i w:val="0"/>
                <w:iCs w:val="0"/>
                <w:color w:val="auto"/>
                <w:kern w:val="2"/>
                <w:sz w:val="21"/>
                <w:szCs w:val="21"/>
                <w:u w:val="none" w:color="auto"/>
                <w:lang w:val="en-US" w:eastAsia="zh-CN"/>
              </w:rPr>
            </w:pPr>
            <w:r>
              <w:rPr>
                <w:rFonts w:hint="eastAsia" w:ascii="方正黑体_GBK" w:hAnsi="方正黑体_GBK" w:eastAsia="方正黑体_GBK" w:cs="方正黑体_GBK"/>
                <w:b w:val="0"/>
                <w:bCs w:val="0"/>
                <w:i w:val="0"/>
                <w:iCs w:val="0"/>
                <w:color w:val="auto"/>
                <w:kern w:val="0"/>
                <w:sz w:val="21"/>
                <w:szCs w:val="21"/>
                <w:u w:val="none" w:color="auto"/>
                <w:lang w:val="en-US" w:eastAsia="zh-CN" w:bidi="ar"/>
              </w:rPr>
              <w:t>办理情况</w:t>
            </w:r>
          </w:p>
        </w:tc>
        <w:tc>
          <w:tcPr>
            <w:tcW w:w="888" w:type="dxa"/>
            <w:tcBorders>
              <w:top w:val="single" w:color="000000" w:sz="4" w:space="0"/>
              <w:left w:val="single" w:color="000000" w:sz="4" w:space="0"/>
              <w:bottom w:val="single" w:color="000000" w:sz="4" w:space="0"/>
              <w:right w:val="single" w:color="000000" w:sz="4" w:space="0"/>
            </w:tcBorders>
            <w:noWrap w:val="0"/>
            <w:vAlign w:val="center"/>
          </w:tcPr>
          <w:p w14:paraId="0D8A26C5">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right="0" w:rightChars="0" w:firstLine="0" w:firstLineChars="0"/>
              <w:jc w:val="center"/>
              <w:textAlignment w:val="center"/>
              <w:outlineLvl w:val="9"/>
              <w:rPr>
                <w:rFonts w:hint="eastAsia" w:ascii="方正黑体_GBK" w:hAnsi="方正黑体_GBK" w:eastAsia="方正黑体_GBK" w:cs="方正黑体_GBK"/>
                <w:b w:val="0"/>
                <w:bCs w:val="0"/>
                <w:i w:val="0"/>
                <w:iCs w:val="0"/>
                <w:color w:val="auto"/>
                <w:kern w:val="2"/>
                <w:sz w:val="21"/>
                <w:szCs w:val="21"/>
                <w:u w:val="none" w:color="auto"/>
                <w:lang w:val="en-US" w:eastAsia="zh-CN"/>
              </w:rPr>
            </w:pPr>
            <w:r>
              <w:rPr>
                <w:rFonts w:hint="eastAsia" w:ascii="方正黑体_GBK" w:hAnsi="方正黑体_GBK" w:eastAsia="方正黑体_GBK" w:cs="方正黑体_GBK"/>
                <w:b w:val="0"/>
                <w:bCs w:val="0"/>
                <w:i w:val="0"/>
                <w:iCs w:val="0"/>
                <w:color w:val="auto"/>
                <w:kern w:val="0"/>
                <w:sz w:val="21"/>
                <w:szCs w:val="21"/>
                <w:u w:val="none" w:color="auto"/>
                <w:lang w:val="en-US" w:eastAsia="zh-CN" w:bidi="ar"/>
              </w:rPr>
              <w:t>企业联系人及联系方式</w:t>
            </w:r>
          </w:p>
        </w:tc>
        <w:tc>
          <w:tcPr>
            <w:tcW w:w="622" w:type="dxa"/>
            <w:tcBorders>
              <w:top w:val="single" w:color="000000" w:sz="4" w:space="0"/>
              <w:left w:val="single" w:color="000000" w:sz="4" w:space="0"/>
              <w:bottom w:val="single" w:color="000000" w:sz="4" w:space="0"/>
              <w:right w:val="single" w:color="000000" w:sz="4" w:space="0"/>
            </w:tcBorders>
            <w:noWrap w:val="0"/>
            <w:vAlign w:val="center"/>
          </w:tcPr>
          <w:p w14:paraId="749383AE">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right="0" w:rightChars="0" w:firstLine="0" w:firstLineChars="0"/>
              <w:jc w:val="center"/>
              <w:textAlignment w:val="center"/>
              <w:outlineLvl w:val="9"/>
              <w:rPr>
                <w:rFonts w:hint="eastAsia" w:ascii="方正黑体_GBK" w:hAnsi="方正黑体_GBK" w:eastAsia="方正黑体_GBK" w:cs="方正黑体_GBK"/>
                <w:b w:val="0"/>
                <w:bCs w:val="0"/>
                <w:i w:val="0"/>
                <w:iCs w:val="0"/>
                <w:color w:val="auto"/>
                <w:sz w:val="21"/>
                <w:szCs w:val="21"/>
                <w:u w:val="none" w:color="auto"/>
                <w:lang w:val="en-US" w:eastAsia="zh-CN"/>
              </w:rPr>
            </w:pPr>
            <w:r>
              <w:rPr>
                <w:rFonts w:hint="eastAsia" w:ascii="方正黑体_GBK" w:hAnsi="方正黑体_GBK" w:eastAsia="方正黑体_GBK" w:cs="方正黑体_GBK"/>
                <w:b w:val="0"/>
                <w:bCs w:val="0"/>
                <w:i w:val="0"/>
                <w:iCs w:val="0"/>
                <w:color w:val="auto"/>
                <w:sz w:val="21"/>
                <w:szCs w:val="21"/>
                <w:u w:val="none" w:color="auto"/>
                <w:lang w:val="en-US" w:eastAsia="zh-CN"/>
              </w:rPr>
              <w:t>企业包保人员</w:t>
            </w:r>
          </w:p>
        </w:tc>
        <w:tc>
          <w:tcPr>
            <w:tcW w:w="677" w:type="dxa"/>
            <w:tcBorders>
              <w:top w:val="single" w:color="000000" w:sz="4" w:space="0"/>
              <w:left w:val="single" w:color="000000" w:sz="4" w:space="0"/>
              <w:bottom w:val="single" w:color="000000" w:sz="4" w:space="0"/>
              <w:right w:val="single" w:color="000000" w:sz="4" w:space="0"/>
            </w:tcBorders>
            <w:noWrap w:val="0"/>
            <w:vAlign w:val="center"/>
          </w:tcPr>
          <w:p w14:paraId="5A76E765">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right="0" w:rightChars="0" w:firstLine="0" w:firstLineChars="0"/>
              <w:jc w:val="center"/>
              <w:textAlignment w:val="center"/>
              <w:outlineLvl w:val="9"/>
              <w:rPr>
                <w:rFonts w:hint="eastAsia" w:ascii="方正黑体_GBK" w:hAnsi="方正黑体_GBK" w:eastAsia="方正黑体_GBK" w:cs="方正黑体_GBK"/>
                <w:b w:val="0"/>
                <w:bCs w:val="0"/>
                <w:i w:val="0"/>
                <w:iCs w:val="0"/>
                <w:color w:val="auto"/>
                <w:kern w:val="0"/>
                <w:sz w:val="21"/>
                <w:szCs w:val="21"/>
                <w:u w:val="none" w:color="auto"/>
                <w:lang w:val="en-US" w:eastAsia="zh-CN" w:bidi="ar"/>
              </w:rPr>
            </w:pPr>
            <w:r>
              <w:rPr>
                <w:rFonts w:hint="eastAsia" w:ascii="方正黑体_GBK" w:hAnsi="方正黑体_GBK" w:eastAsia="方正黑体_GBK" w:cs="方正黑体_GBK"/>
                <w:b w:val="0"/>
                <w:bCs w:val="0"/>
                <w:i w:val="0"/>
                <w:iCs w:val="0"/>
                <w:color w:val="auto"/>
                <w:kern w:val="0"/>
                <w:sz w:val="21"/>
                <w:szCs w:val="21"/>
                <w:u w:val="none" w:color="auto"/>
                <w:lang w:val="en-US" w:eastAsia="zh-CN" w:bidi="ar"/>
              </w:rPr>
              <w:t>是否</w:t>
            </w:r>
          </w:p>
          <w:p w14:paraId="097E85FB">
            <w:pPr>
              <w:keepNext w:val="0"/>
              <w:keepLines w:val="0"/>
              <w:pageBreakBefore w:val="0"/>
              <w:widowControl/>
              <w:suppressLineNumbers w:val="0"/>
              <w:kinsoku/>
              <w:wordWrap/>
              <w:overflowPunct/>
              <w:topLinePunct w:val="0"/>
              <w:autoSpaceDE/>
              <w:autoSpaceDN/>
              <w:bidi w:val="0"/>
              <w:adjustRightInd/>
              <w:snapToGrid/>
              <w:spacing w:line="400" w:lineRule="exact"/>
              <w:ind w:left="0" w:leftChars="0" w:right="0" w:rightChars="0" w:firstLine="0" w:firstLineChars="0"/>
              <w:jc w:val="center"/>
              <w:textAlignment w:val="center"/>
              <w:outlineLvl w:val="9"/>
              <w:rPr>
                <w:rFonts w:hint="eastAsia" w:ascii="方正黑体_GBK" w:hAnsi="方正黑体_GBK" w:eastAsia="方正黑体_GBK" w:cs="方正黑体_GBK"/>
                <w:b w:val="0"/>
                <w:bCs w:val="0"/>
                <w:i w:val="0"/>
                <w:iCs w:val="0"/>
                <w:color w:val="auto"/>
                <w:sz w:val="21"/>
                <w:szCs w:val="21"/>
                <w:u w:val="none" w:color="auto"/>
                <w:lang w:val="en-US"/>
              </w:rPr>
            </w:pPr>
            <w:r>
              <w:rPr>
                <w:rFonts w:hint="eastAsia" w:ascii="方正黑体_GBK" w:hAnsi="方正黑体_GBK" w:eastAsia="方正黑体_GBK" w:cs="方正黑体_GBK"/>
                <w:b w:val="0"/>
                <w:bCs w:val="0"/>
                <w:i w:val="0"/>
                <w:iCs w:val="0"/>
                <w:color w:val="auto"/>
                <w:kern w:val="0"/>
                <w:sz w:val="21"/>
                <w:szCs w:val="21"/>
                <w:u w:val="none" w:color="auto"/>
                <w:lang w:val="en-US" w:eastAsia="zh-CN" w:bidi="ar"/>
              </w:rPr>
              <w:t>办结</w:t>
            </w:r>
          </w:p>
        </w:tc>
      </w:tr>
      <w:tr w14:paraId="3D7988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76" w:hRule="atLeast"/>
        </w:trPr>
        <w:tc>
          <w:tcPr>
            <w:tcW w:w="493" w:type="dxa"/>
            <w:tcBorders>
              <w:top w:val="single" w:color="000000" w:sz="4" w:space="0"/>
              <w:left w:val="single" w:color="000000" w:sz="4" w:space="0"/>
              <w:bottom w:val="single" w:color="000000" w:sz="4" w:space="0"/>
              <w:right w:val="single" w:color="000000" w:sz="4" w:space="0"/>
            </w:tcBorders>
            <w:noWrap w:val="0"/>
            <w:vAlign w:val="center"/>
          </w:tcPr>
          <w:p w14:paraId="205CE3BE">
            <w:pPr>
              <w:keepNext w:val="0"/>
              <w:keepLines w:val="0"/>
              <w:pageBreakBefore w:val="0"/>
              <w:kinsoku/>
              <w:wordWrap/>
              <w:overflowPunct/>
              <w:topLinePunct w:val="0"/>
              <w:autoSpaceDE/>
              <w:autoSpaceDN/>
              <w:bidi w:val="0"/>
              <w:adjustRightInd/>
              <w:snapToGrid/>
              <w:spacing w:line="600" w:lineRule="exact"/>
              <w:ind w:left="0" w:leftChars="0" w:right="0" w:rightChars="0" w:firstLine="482" w:firstLineChars="200"/>
              <w:jc w:val="center"/>
              <w:rPr>
                <w:rFonts w:hint="eastAsia" w:ascii="宋体" w:hAnsi="宋体" w:eastAsia="宋体" w:cs="宋体"/>
                <w:b/>
                <w:bCs/>
                <w:i w:val="0"/>
                <w:iCs w:val="0"/>
                <w:color w:val="auto"/>
                <w:sz w:val="24"/>
                <w:szCs w:val="24"/>
                <w:u w:val="none" w:color="auto"/>
              </w:rPr>
            </w:pPr>
          </w:p>
        </w:tc>
        <w:tc>
          <w:tcPr>
            <w:tcW w:w="1639" w:type="dxa"/>
            <w:tcBorders>
              <w:top w:val="single" w:color="000000" w:sz="4" w:space="0"/>
              <w:left w:val="single" w:color="000000" w:sz="4" w:space="0"/>
              <w:bottom w:val="single" w:color="000000" w:sz="4" w:space="0"/>
              <w:right w:val="single" w:color="000000" w:sz="4" w:space="0"/>
            </w:tcBorders>
            <w:noWrap w:val="0"/>
            <w:vAlign w:val="center"/>
          </w:tcPr>
          <w:p w14:paraId="403027EC">
            <w:pPr>
              <w:keepNext w:val="0"/>
              <w:keepLines w:val="0"/>
              <w:pageBreakBefore w:val="0"/>
              <w:kinsoku/>
              <w:wordWrap/>
              <w:overflowPunct/>
              <w:topLinePunct w:val="0"/>
              <w:autoSpaceDE/>
              <w:autoSpaceDN/>
              <w:bidi w:val="0"/>
              <w:adjustRightInd/>
              <w:snapToGrid/>
              <w:spacing w:line="600" w:lineRule="exact"/>
              <w:ind w:left="0" w:leftChars="0" w:right="0" w:rightChars="0" w:firstLine="482" w:firstLineChars="200"/>
              <w:jc w:val="center"/>
              <w:rPr>
                <w:rFonts w:hint="eastAsia" w:ascii="宋体" w:hAnsi="宋体" w:eastAsia="宋体" w:cs="宋体"/>
                <w:b/>
                <w:bCs/>
                <w:i w:val="0"/>
                <w:iCs w:val="0"/>
                <w:color w:val="auto"/>
                <w:sz w:val="24"/>
                <w:szCs w:val="24"/>
                <w:u w:val="none" w:color="auto"/>
              </w:rPr>
            </w:pPr>
          </w:p>
        </w:tc>
        <w:tc>
          <w:tcPr>
            <w:tcW w:w="489" w:type="dxa"/>
            <w:tcBorders>
              <w:top w:val="single" w:color="000000" w:sz="4" w:space="0"/>
              <w:left w:val="single" w:color="000000" w:sz="4" w:space="0"/>
              <w:bottom w:val="single" w:color="000000" w:sz="4" w:space="0"/>
              <w:right w:val="single" w:color="000000" w:sz="4" w:space="0"/>
            </w:tcBorders>
            <w:noWrap w:val="0"/>
            <w:vAlign w:val="center"/>
          </w:tcPr>
          <w:p w14:paraId="073E33A7">
            <w:pPr>
              <w:keepNext w:val="0"/>
              <w:keepLines w:val="0"/>
              <w:pageBreakBefore w:val="0"/>
              <w:kinsoku/>
              <w:wordWrap/>
              <w:overflowPunct/>
              <w:topLinePunct w:val="0"/>
              <w:autoSpaceDE/>
              <w:autoSpaceDN/>
              <w:bidi w:val="0"/>
              <w:adjustRightInd/>
              <w:snapToGrid/>
              <w:spacing w:line="600" w:lineRule="exact"/>
              <w:ind w:left="0" w:leftChars="0" w:right="0" w:rightChars="0" w:firstLine="482" w:firstLineChars="200"/>
              <w:jc w:val="center"/>
              <w:rPr>
                <w:rFonts w:hint="eastAsia" w:ascii="宋体" w:hAnsi="宋体" w:eastAsia="宋体" w:cs="宋体"/>
                <w:b/>
                <w:bCs/>
                <w:i w:val="0"/>
                <w:iCs w:val="0"/>
                <w:color w:val="auto"/>
                <w:sz w:val="24"/>
                <w:szCs w:val="24"/>
                <w:u w:val="none" w:color="auto"/>
              </w:rPr>
            </w:pPr>
          </w:p>
        </w:tc>
        <w:tc>
          <w:tcPr>
            <w:tcW w:w="2379" w:type="dxa"/>
            <w:tcBorders>
              <w:top w:val="single" w:color="000000" w:sz="4" w:space="0"/>
              <w:left w:val="single" w:color="000000" w:sz="4" w:space="0"/>
              <w:bottom w:val="single" w:color="000000" w:sz="4" w:space="0"/>
              <w:right w:val="single" w:color="000000" w:sz="4" w:space="0"/>
            </w:tcBorders>
            <w:noWrap w:val="0"/>
            <w:vAlign w:val="center"/>
          </w:tcPr>
          <w:p w14:paraId="0BFE3138">
            <w:pPr>
              <w:keepNext w:val="0"/>
              <w:keepLines w:val="0"/>
              <w:pageBreakBefore w:val="0"/>
              <w:kinsoku/>
              <w:wordWrap/>
              <w:overflowPunct/>
              <w:topLinePunct w:val="0"/>
              <w:autoSpaceDE/>
              <w:autoSpaceDN/>
              <w:bidi w:val="0"/>
              <w:adjustRightInd/>
              <w:snapToGrid/>
              <w:spacing w:line="600" w:lineRule="exact"/>
              <w:ind w:left="0" w:leftChars="0" w:right="0" w:rightChars="0" w:firstLine="482" w:firstLineChars="200"/>
              <w:jc w:val="center"/>
              <w:rPr>
                <w:rFonts w:hint="eastAsia" w:ascii="宋体" w:hAnsi="宋体" w:eastAsia="宋体" w:cs="宋体"/>
                <w:b/>
                <w:bCs/>
                <w:i w:val="0"/>
                <w:iCs w:val="0"/>
                <w:color w:val="auto"/>
                <w:sz w:val="24"/>
                <w:szCs w:val="24"/>
                <w:u w:val="none" w:color="auto"/>
              </w:rPr>
            </w:pPr>
          </w:p>
        </w:tc>
        <w:tc>
          <w:tcPr>
            <w:tcW w:w="966" w:type="dxa"/>
            <w:tcBorders>
              <w:top w:val="single" w:color="000000" w:sz="4" w:space="0"/>
              <w:left w:val="single" w:color="000000" w:sz="4" w:space="0"/>
              <w:bottom w:val="single" w:color="000000" w:sz="4" w:space="0"/>
              <w:right w:val="single" w:color="000000" w:sz="4" w:space="0"/>
            </w:tcBorders>
            <w:noWrap w:val="0"/>
            <w:vAlign w:val="center"/>
          </w:tcPr>
          <w:p w14:paraId="2FAA54FB">
            <w:pPr>
              <w:keepNext w:val="0"/>
              <w:keepLines w:val="0"/>
              <w:pageBreakBefore w:val="0"/>
              <w:kinsoku/>
              <w:wordWrap/>
              <w:overflowPunct/>
              <w:topLinePunct w:val="0"/>
              <w:autoSpaceDE/>
              <w:autoSpaceDN/>
              <w:bidi w:val="0"/>
              <w:adjustRightInd/>
              <w:snapToGrid/>
              <w:spacing w:line="600" w:lineRule="exact"/>
              <w:ind w:left="0" w:leftChars="0" w:right="0" w:rightChars="0" w:firstLine="482" w:firstLineChars="200"/>
              <w:jc w:val="center"/>
              <w:rPr>
                <w:rFonts w:hint="eastAsia" w:ascii="宋体" w:hAnsi="宋体" w:eastAsia="宋体" w:cs="宋体"/>
                <w:b/>
                <w:bCs/>
                <w:i w:val="0"/>
                <w:iCs w:val="0"/>
                <w:color w:val="auto"/>
                <w:sz w:val="24"/>
                <w:szCs w:val="24"/>
                <w:u w:val="none" w:color="auto"/>
              </w:rPr>
            </w:pPr>
          </w:p>
        </w:tc>
        <w:tc>
          <w:tcPr>
            <w:tcW w:w="1963" w:type="dxa"/>
            <w:tcBorders>
              <w:top w:val="single" w:color="000000" w:sz="4" w:space="0"/>
              <w:left w:val="single" w:color="000000" w:sz="4" w:space="0"/>
              <w:bottom w:val="single" w:color="000000" w:sz="4" w:space="0"/>
              <w:right w:val="single" w:color="000000" w:sz="4" w:space="0"/>
            </w:tcBorders>
            <w:noWrap w:val="0"/>
            <w:vAlign w:val="center"/>
          </w:tcPr>
          <w:p w14:paraId="55B26F06">
            <w:pPr>
              <w:keepNext w:val="0"/>
              <w:keepLines w:val="0"/>
              <w:pageBreakBefore w:val="0"/>
              <w:kinsoku/>
              <w:wordWrap/>
              <w:overflowPunct/>
              <w:topLinePunct w:val="0"/>
              <w:autoSpaceDE/>
              <w:autoSpaceDN/>
              <w:bidi w:val="0"/>
              <w:adjustRightInd/>
              <w:snapToGrid/>
              <w:spacing w:line="600" w:lineRule="exact"/>
              <w:ind w:left="0" w:leftChars="0" w:right="0" w:rightChars="0" w:firstLine="482" w:firstLineChars="200"/>
              <w:jc w:val="center"/>
              <w:rPr>
                <w:rFonts w:hint="eastAsia" w:ascii="宋体" w:hAnsi="宋体" w:eastAsia="宋体" w:cs="宋体"/>
                <w:b/>
                <w:bCs/>
                <w:i w:val="0"/>
                <w:iCs w:val="0"/>
                <w:color w:val="auto"/>
                <w:sz w:val="24"/>
                <w:szCs w:val="24"/>
                <w:u w:val="none" w:color="auto"/>
              </w:rPr>
            </w:pPr>
          </w:p>
        </w:tc>
        <w:tc>
          <w:tcPr>
            <w:tcW w:w="888" w:type="dxa"/>
            <w:tcBorders>
              <w:top w:val="single" w:color="000000" w:sz="4" w:space="0"/>
              <w:left w:val="single" w:color="000000" w:sz="4" w:space="0"/>
              <w:bottom w:val="single" w:color="000000" w:sz="4" w:space="0"/>
              <w:right w:val="single" w:color="000000" w:sz="4" w:space="0"/>
            </w:tcBorders>
            <w:noWrap w:val="0"/>
            <w:vAlign w:val="center"/>
          </w:tcPr>
          <w:p w14:paraId="0FE6C6C4">
            <w:pPr>
              <w:keepNext w:val="0"/>
              <w:keepLines w:val="0"/>
              <w:pageBreakBefore w:val="0"/>
              <w:kinsoku/>
              <w:wordWrap/>
              <w:overflowPunct/>
              <w:topLinePunct w:val="0"/>
              <w:autoSpaceDE/>
              <w:autoSpaceDN/>
              <w:bidi w:val="0"/>
              <w:adjustRightInd/>
              <w:snapToGrid/>
              <w:spacing w:line="600" w:lineRule="exact"/>
              <w:ind w:left="0" w:leftChars="0" w:right="0" w:rightChars="0" w:firstLine="482" w:firstLineChars="200"/>
              <w:jc w:val="center"/>
              <w:rPr>
                <w:rFonts w:hint="eastAsia" w:ascii="宋体" w:hAnsi="宋体" w:eastAsia="宋体" w:cs="宋体"/>
                <w:b/>
                <w:bCs/>
                <w:i w:val="0"/>
                <w:iCs w:val="0"/>
                <w:color w:val="auto"/>
                <w:sz w:val="24"/>
                <w:szCs w:val="24"/>
                <w:u w:val="none" w:color="auto"/>
              </w:rPr>
            </w:pPr>
          </w:p>
        </w:tc>
        <w:tc>
          <w:tcPr>
            <w:tcW w:w="622" w:type="dxa"/>
            <w:tcBorders>
              <w:top w:val="single" w:color="000000" w:sz="4" w:space="0"/>
              <w:left w:val="single" w:color="000000" w:sz="4" w:space="0"/>
              <w:bottom w:val="single" w:color="000000" w:sz="4" w:space="0"/>
              <w:right w:val="single" w:color="000000" w:sz="4" w:space="0"/>
            </w:tcBorders>
            <w:noWrap w:val="0"/>
            <w:vAlign w:val="center"/>
          </w:tcPr>
          <w:p w14:paraId="55A15A5F">
            <w:pPr>
              <w:keepNext w:val="0"/>
              <w:keepLines w:val="0"/>
              <w:pageBreakBefore w:val="0"/>
              <w:kinsoku/>
              <w:wordWrap/>
              <w:overflowPunct/>
              <w:topLinePunct w:val="0"/>
              <w:autoSpaceDE/>
              <w:autoSpaceDN/>
              <w:bidi w:val="0"/>
              <w:adjustRightInd/>
              <w:snapToGrid/>
              <w:spacing w:line="600" w:lineRule="exact"/>
              <w:ind w:left="0" w:leftChars="0" w:right="0" w:rightChars="0" w:firstLine="482" w:firstLineChars="200"/>
              <w:jc w:val="center"/>
              <w:rPr>
                <w:rFonts w:hint="eastAsia" w:ascii="宋体" w:hAnsi="宋体" w:eastAsia="宋体" w:cs="宋体"/>
                <w:b/>
                <w:bCs/>
                <w:i w:val="0"/>
                <w:iCs w:val="0"/>
                <w:color w:val="auto"/>
                <w:sz w:val="24"/>
                <w:szCs w:val="24"/>
                <w:u w:val="none" w:color="auto"/>
              </w:rPr>
            </w:pPr>
          </w:p>
        </w:tc>
        <w:tc>
          <w:tcPr>
            <w:tcW w:w="677" w:type="dxa"/>
            <w:tcBorders>
              <w:top w:val="single" w:color="000000" w:sz="4" w:space="0"/>
              <w:left w:val="single" w:color="000000" w:sz="4" w:space="0"/>
              <w:bottom w:val="single" w:color="000000" w:sz="4" w:space="0"/>
              <w:right w:val="single" w:color="000000" w:sz="4" w:space="0"/>
            </w:tcBorders>
            <w:noWrap w:val="0"/>
            <w:vAlign w:val="center"/>
          </w:tcPr>
          <w:p w14:paraId="16A45B13">
            <w:pPr>
              <w:keepNext w:val="0"/>
              <w:keepLines w:val="0"/>
              <w:pageBreakBefore w:val="0"/>
              <w:kinsoku/>
              <w:wordWrap/>
              <w:overflowPunct/>
              <w:topLinePunct w:val="0"/>
              <w:autoSpaceDE/>
              <w:autoSpaceDN/>
              <w:bidi w:val="0"/>
              <w:adjustRightInd/>
              <w:snapToGrid/>
              <w:spacing w:line="600" w:lineRule="exact"/>
              <w:ind w:left="0" w:leftChars="0" w:right="0" w:rightChars="0" w:firstLine="482" w:firstLineChars="200"/>
              <w:jc w:val="center"/>
              <w:rPr>
                <w:rFonts w:hint="eastAsia" w:ascii="宋体" w:hAnsi="宋体" w:eastAsia="宋体" w:cs="宋体"/>
                <w:b/>
                <w:bCs/>
                <w:i w:val="0"/>
                <w:iCs w:val="0"/>
                <w:color w:val="auto"/>
                <w:sz w:val="24"/>
                <w:szCs w:val="24"/>
                <w:u w:val="none" w:color="auto"/>
              </w:rPr>
            </w:pPr>
          </w:p>
        </w:tc>
      </w:tr>
      <w:tr w14:paraId="1B2DE6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3" w:hRule="atLeast"/>
        </w:trPr>
        <w:tc>
          <w:tcPr>
            <w:tcW w:w="493" w:type="dxa"/>
            <w:tcBorders>
              <w:top w:val="single" w:color="000000" w:sz="4" w:space="0"/>
              <w:left w:val="single" w:color="000000" w:sz="4" w:space="0"/>
              <w:bottom w:val="single" w:color="000000" w:sz="4" w:space="0"/>
              <w:right w:val="single" w:color="000000" w:sz="4" w:space="0"/>
            </w:tcBorders>
            <w:noWrap w:val="0"/>
            <w:vAlign w:val="center"/>
          </w:tcPr>
          <w:p w14:paraId="63FCBFB6">
            <w:pPr>
              <w:keepNext w:val="0"/>
              <w:keepLines w:val="0"/>
              <w:pageBreakBefore w:val="0"/>
              <w:kinsoku/>
              <w:wordWrap/>
              <w:overflowPunct/>
              <w:topLinePunct w:val="0"/>
              <w:autoSpaceDE/>
              <w:autoSpaceDN/>
              <w:bidi w:val="0"/>
              <w:adjustRightInd/>
              <w:snapToGrid/>
              <w:spacing w:line="600" w:lineRule="exact"/>
              <w:ind w:left="0" w:leftChars="0" w:right="0" w:rightChars="0" w:firstLine="482" w:firstLineChars="200"/>
              <w:jc w:val="center"/>
              <w:rPr>
                <w:rFonts w:hint="eastAsia" w:ascii="宋体" w:hAnsi="宋体" w:eastAsia="宋体" w:cs="宋体"/>
                <w:b/>
                <w:bCs/>
                <w:i w:val="0"/>
                <w:iCs w:val="0"/>
                <w:color w:val="auto"/>
                <w:sz w:val="24"/>
                <w:szCs w:val="24"/>
                <w:u w:val="none" w:color="auto"/>
              </w:rPr>
            </w:pPr>
          </w:p>
        </w:tc>
        <w:tc>
          <w:tcPr>
            <w:tcW w:w="1639" w:type="dxa"/>
            <w:tcBorders>
              <w:top w:val="single" w:color="000000" w:sz="4" w:space="0"/>
              <w:left w:val="single" w:color="000000" w:sz="4" w:space="0"/>
              <w:bottom w:val="single" w:color="000000" w:sz="4" w:space="0"/>
              <w:right w:val="single" w:color="000000" w:sz="4" w:space="0"/>
            </w:tcBorders>
            <w:noWrap w:val="0"/>
            <w:vAlign w:val="center"/>
          </w:tcPr>
          <w:p w14:paraId="6DE862B6">
            <w:pPr>
              <w:keepNext w:val="0"/>
              <w:keepLines w:val="0"/>
              <w:pageBreakBefore w:val="0"/>
              <w:kinsoku/>
              <w:wordWrap/>
              <w:overflowPunct/>
              <w:topLinePunct w:val="0"/>
              <w:autoSpaceDE/>
              <w:autoSpaceDN/>
              <w:bidi w:val="0"/>
              <w:adjustRightInd/>
              <w:snapToGrid/>
              <w:spacing w:line="600" w:lineRule="exact"/>
              <w:ind w:left="0" w:leftChars="0" w:right="0" w:rightChars="0" w:firstLine="482" w:firstLineChars="200"/>
              <w:jc w:val="center"/>
              <w:rPr>
                <w:rFonts w:hint="eastAsia" w:ascii="宋体" w:hAnsi="宋体" w:eastAsia="宋体" w:cs="宋体"/>
                <w:b/>
                <w:bCs/>
                <w:i w:val="0"/>
                <w:iCs w:val="0"/>
                <w:color w:val="auto"/>
                <w:sz w:val="24"/>
                <w:szCs w:val="24"/>
                <w:u w:val="none" w:color="auto"/>
              </w:rPr>
            </w:pPr>
          </w:p>
        </w:tc>
        <w:tc>
          <w:tcPr>
            <w:tcW w:w="489" w:type="dxa"/>
            <w:tcBorders>
              <w:top w:val="single" w:color="000000" w:sz="4" w:space="0"/>
              <w:left w:val="single" w:color="000000" w:sz="4" w:space="0"/>
              <w:bottom w:val="single" w:color="000000" w:sz="4" w:space="0"/>
              <w:right w:val="single" w:color="000000" w:sz="4" w:space="0"/>
            </w:tcBorders>
            <w:noWrap w:val="0"/>
            <w:vAlign w:val="center"/>
          </w:tcPr>
          <w:p w14:paraId="2454EF0C">
            <w:pPr>
              <w:keepNext w:val="0"/>
              <w:keepLines w:val="0"/>
              <w:pageBreakBefore w:val="0"/>
              <w:kinsoku/>
              <w:wordWrap/>
              <w:overflowPunct/>
              <w:topLinePunct w:val="0"/>
              <w:autoSpaceDE/>
              <w:autoSpaceDN/>
              <w:bidi w:val="0"/>
              <w:adjustRightInd/>
              <w:snapToGrid/>
              <w:spacing w:line="600" w:lineRule="exact"/>
              <w:ind w:left="0" w:leftChars="0" w:right="0" w:rightChars="0" w:firstLine="482" w:firstLineChars="200"/>
              <w:jc w:val="center"/>
              <w:rPr>
                <w:rFonts w:hint="eastAsia" w:ascii="宋体" w:hAnsi="宋体" w:eastAsia="宋体" w:cs="宋体"/>
                <w:b/>
                <w:bCs/>
                <w:i w:val="0"/>
                <w:iCs w:val="0"/>
                <w:color w:val="auto"/>
                <w:sz w:val="24"/>
                <w:szCs w:val="24"/>
                <w:u w:val="none" w:color="auto"/>
              </w:rPr>
            </w:pPr>
          </w:p>
        </w:tc>
        <w:tc>
          <w:tcPr>
            <w:tcW w:w="2379" w:type="dxa"/>
            <w:tcBorders>
              <w:top w:val="single" w:color="000000" w:sz="4" w:space="0"/>
              <w:left w:val="single" w:color="000000" w:sz="4" w:space="0"/>
              <w:bottom w:val="single" w:color="000000" w:sz="4" w:space="0"/>
              <w:right w:val="single" w:color="000000" w:sz="4" w:space="0"/>
            </w:tcBorders>
            <w:noWrap w:val="0"/>
            <w:vAlign w:val="center"/>
          </w:tcPr>
          <w:p w14:paraId="3CAA3BFD">
            <w:pPr>
              <w:keepNext w:val="0"/>
              <w:keepLines w:val="0"/>
              <w:pageBreakBefore w:val="0"/>
              <w:kinsoku/>
              <w:wordWrap/>
              <w:overflowPunct/>
              <w:topLinePunct w:val="0"/>
              <w:autoSpaceDE/>
              <w:autoSpaceDN/>
              <w:bidi w:val="0"/>
              <w:adjustRightInd/>
              <w:snapToGrid/>
              <w:spacing w:line="600" w:lineRule="exact"/>
              <w:ind w:left="0" w:leftChars="0" w:right="0" w:rightChars="0" w:firstLine="482" w:firstLineChars="200"/>
              <w:jc w:val="center"/>
              <w:rPr>
                <w:rFonts w:hint="eastAsia" w:ascii="宋体" w:hAnsi="宋体" w:eastAsia="宋体" w:cs="宋体"/>
                <w:b/>
                <w:bCs/>
                <w:i w:val="0"/>
                <w:iCs w:val="0"/>
                <w:color w:val="auto"/>
                <w:sz w:val="24"/>
                <w:szCs w:val="24"/>
                <w:u w:val="none" w:color="auto"/>
              </w:rPr>
            </w:pPr>
          </w:p>
        </w:tc>
        <w:tc>
          <w:tcPr>
            <w:tcW w:w="966" w:type="dxa"/>
            <w:tcBorders>
              <w:top w:val="single" w:color="000000" w:sz="4" w:space="0"/>
              <w:left w:val="single" w:color="000000" w:sz="4" w:space="0"/>
              <w:bottom w:val="single" w:color="000000" w:sz="4" w:space="0"/>
              <w:right w:val="single" w:color="000000" w:sz="4" w:space="0"/>
            </w:tcBorders>
            <w:noWrap w:val="0"/>
            <w:vAlign w:val="center"/>
          </w:tcPr>
          <w:p w14:paraId="04EE3B34">
            <w:pPr>
              <w:keepNext w:val="0"/>
              <w:keepLines w:val="0"/>
              <w:pageBreakBefore w:val="0"/>
              <w:kinsoku/>
              <w:wordWrap/>
              <w:overflowPunct/>
              <w:topLinePunct w:val="0"/>
              <w:autoSpaceDE/>
              <w:autoSpaceDN/>
              <w:bidi w:val="0"/>
              <w:adjustRightInd/>
              <w:snapToGrid/>
              <w:spacing w:line="600" w:lineRule="exact"/>
              <w:ind w:left="0" w:leftChars="0" w:right="0" w:rightChars="0" w:firstLine="482" w:firstLineChars="200"/>
              <w:jc w:val="center"/>
              <w:rPr>
                <w:rFonts w:hint="eastAsia" w:ascii="宋体" w:hAnsi="宋体" w:eastAsia="宋体" w:cs="宋体"/>
                <w:b/>
                <w:bCs/>
                <w:i w:val="0"/>
                <w:iCs w:val="0"/>
                <w:color w:val="auto"/>
                <w:sz w:val="24"/>
                <w:szCs w:val="24"/>
                <w:u w:val="none" w:color="auto"/>
              </w:rPr>
            </w:pPr>
          </w:p>
        </w:tc>
        <w:tc>
          <w:tcPr>
            <w:tcW w:w="1963" w:type="dxa"/>
            <w:tcBorders>
              <w:top w:val="single" w:color="000000" w:sz="4" w:space="0"/>
              <w:left w:val="single" w:color="000000" w:sz="4" w:space="0"/>
              <w:bottom w:val="single" w:color="000000" w:sz="4" w:space="0"/>
              <w:right w:val="single" w:color="000000" w:sz="4" w:space="0"/>
            </w:tcBorders>
            <w:noWrap w:val="0"/>
            <w:vAlign w:val="center"/>
          </w:tcPr>
          <w:p w14:paraId="538FBACB">
            <w:pPr>
              <w:keepNext w:val="0"/>
              <w:keepLines w:val="0"/>
              <w:pageBreakBefore w:val="0"/>
              <w:kinsoku/>
              <w:wordWrap/>
              <w:overflowPunct/>
              <w:topLinePunct w:val="0"/>
              <w:autoSpaceDE/>
              <w:autoSpaceDN/>
              <w:bidi w:val="0"/>
              <w:adjustRightInd/>
              <w:snapToGrid/>
              <w:spacing w:line="600" w:lineRule="exact"/>
              <w:ind w:left="0" w:leftChars="0" w:right="0" w:rightChars="0" w:firstLine="482" w:firstLineChars="200"/>
              <w:jc w:val="center"/>
              <w:rPr>
                <w:rFonts w:hint="eastAsia" w:ascii="宋体" w:hAnsi="宋体" w:eastAsia="宋体" w:cs="宋体"/>
                <w:b/>
                <w:bCs/>
                <w:i w:val="0"/>
                <w:iCs w:val="0"/>
                <w:color w:val="auto"/>
                <w:sz w:val="24"/>
                <w:szCs w:val="24"/>
                <w:u w:val="none" w:color="auto"/>
              </w:rPr>
            </w:pPr>
          </w:p>
        </w:tc>
        <w:tc>
          <w:tcPr>
            <w:tcW w:w="888" w:type="dxa"/>
            <w:tcBorders>
              <w:top w:val="single" w:color="000000" w:sz="4" w:space="0"/>
              <w:left w:val="single" w:color="000000" w:sz="4" w:space="0"/>
              <w:bottom w:val="single" w:color="000000" w:sz="4" w:space="0"/>
              <w:right w:val="single" w:color="000000" w:sz="4" w:space="0"/>
            </w:tcBorders>
            <w:noWrap w:val="0"/>
            <w:vAlign w:val="center"/>
          </w:tcPr>
          <w:p w14:paraId="29E34A95">
            <w:pPr>
              <w:keepNext w:val="0"/>
              <w:keepLines w:val="0"/>
              <w:pageBreakBefore w:val="0"/>
              <w:kinsoku/>
              <w:wordWrap/>
              <w:overflowPunct/>
              <w:topLinePunct w:val="0"/>
              <w:autoSpaceDE/>
              <w:autoSpaceDN/>
              <w:bidi w:val="0"/>
              <w:adjustRightInd/>
              <w:snapToGrid/>
              <w:spacing w:line="600" w:lineRule="exact"/>
              <w:ind w:left="0" w:leftChars="0" w:right="0" w:rightChars="0" w:firstLine="482" w:firstLineChars="200"/>
              <w:jc w:val="center"/>
              <w:rPr>
                <w:rFonts w:hint="eastAsia" w:ascii="宋体" w:hAnsi="宋体" w:eastAsia="宋体" w:cs="宋体"/>
                <w:b/>
                <w:bCs/>
                <w:i w:val="0"/>
                <w:iCs w:val="0"/>
                <w:color w:val="auto"/>
                <w:sz w:val="24"/>
                <w:szCs w:val="24"/>
                <w:u w:val="none" w:color="auto"/>
              </w:rPr>
            </w:pPr>
          </w:p>
        </w:tc>
        <w:tc>
          <w:tcPr>
            <w:tcW w:w="622" w:type="dxa"/>
            <w:tcBorders>
              <w:top w:val="single" w:color="000000" w:sz="4" w:space="0"/>
              <w:left w:val="single" w:color="000000" w:sz="4" w:space="0"/>
              <w:bottom w:val="single" w:color="000000" w:sz="4" w:space="0"/>
              <w:right w:val="single" w:color="000000" w:sz="4" w:space="0"/>
            </w:tcBorders>
            <w:noWrap w:val="0"/>
            <w:vAlign w:val="center"/>
          </w:tcPr>
          <w:p w14:paraId="005A0FAA">
            <w:pPr>
              <w:keepNext w:val="0"/>
              <w:keepLines w:val="0"/>
              <w:pageBreakBefore w:val="0"/>
              <w:kinsoku/>
              <w:wordWrap/>
              <w:overflowPunct/>
              <w:topLinePunct w:val="0"/>
              <w:autoSpaceDE/>
              <w:autoSpaceDN/>
              <w:bidi w:val="0"/>
              <w:adjustRightInd/>
              <w:snapToGrid/>
              <w:spacing w:line="600" w:lineRule="exact"/>
              <w:ind w:left="0" w:leftChars="0" w:right="0" w:rightChars="0" w:firstLine="482" w:firstLineChars="200"/>
              <w:jc w:val="center"/>
              <w:rPr>
                <w:rFonts w:hint="eastAsia" w:ascii="宋体" w:hAnsi="宋体" w:eastAsia="宋体" w:cs="宋体"/>
                <w:b/>
                <w:bCs/>
                <w:i w:val="0"/>
                <w:iCs w:val="0"/>
                <w:color w:val="auto"/>
                <w:sz w:val="24"/>
                <w:szCs w:val="24"/>
                <w:u w:val="none" w:color="auto"/>
              </w:rPr>
            </w:pPr>
          </w:p>
        </w:tc>
        <w:tc>
          <w:tcPr>
            <w:tcW w:w="677" w:type="dxa"/>
            <w:tcBorders>
              <w:top w:val="single" w:color="000000" w:sz="4" w:space="0"/>
              <w:left w:val="single" w:color="000000" w:sz="4" w:space="0"/>
              <w:bottom w:val="single" w:color="000000" w:sz="4" w:space="0"/>
              <w:right w:val="single" w:color="000000" w:sz="4" w:space="0"/>
            </w:tcBorders>
            <w:noWrap w:val="0"/>
            <w:vAlign w:val="center"/>
          </w:tcPr>
          <w:p w14:paraId="412CAA73">
            <w:pPr>
              <w:keepNext w:val="0"/>
              <w:keepLines w:val="0"/>
              <w:pageBreakBefore w:val="0"/>
              <w:kinsoku/>
              <w:wordWrap/>
              <w:overflowPunct/>
              <w:topLinePunct w:val="0"/>
              <w:autoSpaceDE/>
              <w:autoSpaceDN/>
              <w:bidi w:val="0"/>
              <w:adjustRightInd/>
              <w:snapToGrid/>
              <w:spacing w:line="600" w:lineRule="exact"/>
              <w:ind w:left="0" w:leftChars="0" w:right="0" w:rightChars="0" w:firstLine="482" w:firstLineChars="200"/>
              <w:jc w:val="center"/>
              <w:rPr>
                <w:rFonts w:hint="eastAsia" w:ascii="宋体" w:hAnsi="宋体" w:eastAsia="宋体" w:cs="宋体"/>
                <w:b/>
                <w:bCs/>
                <w:i w:val="0"/>
                <w:iCs w:val="0"/>
                <w:color w:val="auto"/>
                <w:sz w:val="24"/>
                <w:szCs w:val="24"/>
                <w:u w:val="none" w:color="auto"/>
              </w:rPr>
            </w:pPr>
          </w:p>
        </w:tc>
      </w:tr>
      <w:tr w14:paraId="74E625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3" w:hRule="atLeast"/>
        </w:trPr>
        <w:tc>
          <w:tcPr>
            <w:tcW w:w="493" w:type="dxa"/>
            <w:tcBorders>
              <w:top w:val="single" w:color="000000" w:sz="4" w:space="0"/>
              <w:left w:val="single" w:color="000000" w:sz="4" w:space="0"/>
              <w:bottom w:val="single" w:color="000000" w:sz="4" w:space="0"/>
              <w:right w:val="single" w:color="000000" w:sz="4" w:space="0"/>
            </w:tcBorders>
            <w:noWrap w:val="0"/>
            <w:vAlign w:val="center"/>
          </w:tcPr>
          <w:p w14:paraId="14F0694C">
            <w:pPr>
              <w:keepNext w:val="0"/>
              <w:keepLines w:val="0"/>
              <w:pageBreakBefore w:val="0"/>
              <w:kinsoku/>
              <w:wordWrap/>
              <w:overflowPunct/>
              <w:topLinePunct w:val="0"/>
              <w:autoSpaceDE/>
              <w:autoSpaceDN/>
              <w:bidi w:val="0"/>
              <w:adjustRightInd/>
              <w:snapToGrid/>
              <w:spacing w:line="600" w:lineRule="exact"/>
              <w:ind w:left="0" w:leftChars="0" w:right="0" w:rightChars="0" w:firstLine="480" w:firstLineChars="200"/>
              <w:jc w:val="center"/>
              <w:rPr>
                <w:rFonts w:hint="eastAsia" w:ascii="Calibri" w:hAnsi="Calibri" w:cs="Calibri"/>
                <w:i w:val="0"/>
                <w:iCs w:val="0"/>
                <w:color w:val="auto"/>
                <w:sz w:val="24"/>
                <w:szCs w:val="24"/>
                <w:u w:val="none" w:color="auto"/>
              </w:rPr>
            </w:pPr>
          </w:p>
        </w:tc>
        <w:tc>
          <w:tcPr>
            <w:tcW w:w="1639" w:type="dxa"/>
            <w:tcBorders>
              <w:top w:val="single" w:color="000000" w:sz="4" w:space="0"/>
              <w:left w:val="single" w:color="000000" w:sz="4" w:space="0"/>
              <w:bottom w:val="single" w:color="000000" w:sz="4" w:space="0"/>
              <w:right w:val="single" w:color="000000" w:sz="4" w:space="0"/>
            </w:tcBorders>
            <w:noWrap w:val="0"/>
            <w:vAlign w:val="center"/>
          </w:tcPr>
          <w:p w14:paraId="24031415">
            <w:pPr>
              <w:keepNext w:val="0"/>
              <w:keepLines w:val="0"/>
              <w:pageBreakBefore w:val="0"/>
              <w:kinsoku/>
              <w:wordWrap/>
              <w:overflowPunct/>
              <w:topLinePunct w:val="0"/>
              <w:autoSpaceDE/>
              <w:autoSpaceDN/>
              <w:bidi w:val="0"/>
              <w:adjustRightInd/>
              <w:snapToGrid/>
              <w:spacing w:line="600" w:lineRule="exact"/>
              <w:ind w:left="0" w:leftChars="0" w:right="0" w:rightChars="0" w:firstLine="400" w:firstLineChars="200"/>
              <w:jc w:val="center"/>
              <w:rPr>
                <w:rFonts w:hint="eastAsia" w:ascii="宋体" w:hAnsi="宋体" w:eastAsia="宋体" w:cs="宋体"/>
                <w:i w:val="0"/>
                <w:iCs w:val="0"/>
                <w:color w:val="auto"/>
                <w:sz w:val="20"/>
                <w:szCs w:val="20"/>
                <w:u w:val="none" w:color="auto"/>
              </w:rPr>
            </w:pPr>
          </w:p>
        </w:tc>
        <w:tc>
          <w:tcPr>
            <w:tcW w:w="489" w:type="dxa"/>
            <w:tcBorders>
              <w:top w:val="single" w:color="000000" w:sz="4" w:space="0"/>
              <w:left w:val="single" w:color="000000" w:sz="4" w:space="0"/>
              <w:bottom w:val="single" w:color="000000" w:sz="4" w:space="0"/>
              <w:right w:val="single" w:color="000000" w:sz="4" w:space="0"/>
            </w:tcBorders>
            <w:noWrap w:val="0"/>
            <w:vAlign w:val="center"/>
          </w:tcPr>
          <w:p w14:paraId="055D9C23">
            <w:pPr>
              <w:keepNext w:val="0"/>
              <w:keepLines w:val="0"/>
              <w:pageBreakBefore w:val="0"/>
              <w:kinsoku/>
              <w:wordWrap/>
              <w:overflowPunct/>
              <w:topLinePunct w:val="0"/>
              <w:autoSpaceDE/>
              <w:autoSpaceDN/>
              <w:bidi w:val="0"/>
              <w:adjustRightInd/>
              <w:snapToGrid/>
              <w:spacing w:line="600" w:lineRule="exact"/>
              <w:ind w:left="0" w:leftChars="0" w:right="0" w:rightChars="0" w:firstLine="400" w:firstLineChars="200"/>
              <w:jc w:val="center"/>
              <w:rPr>
                <w:rFonts w:hint="eastAsia" w:ascii="宋体" w:hAnsi="宋体" w:eastAsia="宋体" w:cs="宋体"/>
                <w:i w:val="0"/>
                <w:iCs w:val="0"/>
                <w:color w:val="auto"/>
                <w:sz w:val="20"/>
                <w:szCs w:val="20"/>
                <w:u w:val="none" w:color="auto"/>
              </w:rPr>
            </w:pPr>
          </w:p>
        </w:tc>
        <w:tc>
          <w:tcPr>
            <w:tcW w:w="2379" w:type="dxa"/>
            <w:tcBorders>
              <w:top w:val="single" w:color="000000" w:sz="4" w:space="0"/>
              <w:left w:val="single" w:color="000000" w:sz="4" w:space="0"/>
              <w:bottom w:val="single" w:color="000000" w:sz="4" w:space="0"/>
              <w:right w:val="single" w:color="000000" w:sz="4" w:space="0"/>
            </w:tcBorders>
            <w:noWrap w:val="0"/>
            <w:vAlign w:val="center"/>
          </w:tcPr>
          <w:p w14:paraId="2EE8C812">
            <w:pPr>
              <w:keepNext w:val="0"/>
              <w:keepLines w:val="0"/>
              <w:pageBreakBefore w:val="0"/>
              <w:kinsoku/>
              <w:wordWrap/>
              <w:overflowPunct/>
              <w:topLinePunct w:val="0"/>
              <w:autoSpaceDE/>
              <w:autoSpaceDN/>
              <w:bidi w:val="0"/>
              <w:adjustRightInd/>
              <w:snapToGrid/>
              <w:spacing w:line="600" w:lineRule="exact"/>
              <w:ind w:left="0" w:leftChars="0" w:right="0" w:rightChars="0" w:firstLine="400" w:firstLineChars="200"/>
              <w:jc w:val="center"/>
              <w:rPr>
                <w:rFonts w:hint="eastAsia" w:ascii="宋体" w:hAnsi="宋体" w:eastAsia="宋体" w:cs="宋体"/>
                <w:i w:val="0"/>
                <w:iCs w:val="0"/>
                <w:color w:val="auto"/>
                <w:sz w:val="20"/>
                <w:szCs w:val="20"/>
                <w:u w:val="none" w:color="auto"/>
              </w:rPr>
            </w:pPr>
          </w:p>
        </w:tc>
        <w:tc>
          <w:tcPr>
            <w:tcW w:w="966" w:type="dxa"/>
            <w:tcBorders>
              <w:top w:val="single" w:color="000000" w:sz="4" w:space="0"/>
              <w:left w:val="single" w:color="000000" w:sz="4" w:space="0"/>
              <w:bottom w:val="single" w:color="000000" w:sz="4" w:space="0"/>
              <w:right w:val="single" w:color="000000" w:sz="4" w:space="0"/>
            </w:tcBorders>
            <w:noWrap w:val="0"/>
            <w:vAlign w:val="center"/>
          </w:tcPr>
          <w:p w14:paraId="1E8CDDE0">
            <w:pPr>
              <w:keepNext w:val="0"/>
              <w:keepLines w:val="0"/>
              <w:pageBreakBefore w:val="0"/>
              <w:kinsoku/>
              <w:wordWrap/>
              <w:overflowPunct/>
              <w:topLinePunct w:val="0"/>
              <w:autoSpaceDE/>
              <w:autoSpaceDN/>
              <w:bidi w:val="0"/>
              <w:adjustRightInd/>
              <w:snapToGrid/>
              <w:spacing w:line="600" w:lineRule="exact"/>
              <w:ind w:left="0" w:leftChars="0" w:right="0" w:rightChars="0" w:firstLine="400" w:firstLineChars="200"/>
              <w:jc w:val="center"/>
              <w:rPr>
                <w:rFonts w:hint="default" w:ascii="Calibri" w:hAnsi="Calibri" w:cs="Calibri"/>
                <w:i w:val="0"/>
                <w:iCs w:val="0"/>
                <w:color w:val="auto"/>
                <w:sz w:val="20"/>
                <w:szCs w:val="20"/>
                <w:u w:val="none" w:color="auto"/>
              </w:rPr>
            </w:pPr>
          </w:p>
        </w:tc>
        <w:tc>
          <w:tcPr>
            <w:tcW w:w="1963" w:type="dxa"/>
            <w:tcBorders>
              <w:top w:val="single" w:color="000000" w:sz="4" w:space="0"/>
              <w:left w:val="single" w:color="000000" w:sz="4" w:space="0"/>
              <w:bottom w:val="single" w:color="000000" w:sz="4" w:space="0"/>
              <w:right w:val="single" w:color="000000" w:sz="4" w:space="0"/>
            </w:tcBorders>
            <w:noWrap w:val="0"/>
            <w:vAlign w:val="center"/>
          </w:tcPr>
          <w:p w14:paraId="26C19044">
            <w:pPr>
              <w:keepNext w:val="0"/>
              <w:keepLines w:val="0"/>
              <w:pageBreakBefore w:val="0"/>
              <w:kinsoku/>
              <w:wordWrap/>
              <w:overflowPunct/>
              <w:topLinePunct w:val="0"/>
              <w:autoSpaceDE/>
              <w:autoSpaceDN/>
              <w:bidi w:val="0"/>
              <w:adjustRightInd/>
              <w:snapToGrid/>
              <w:spacing w:line="600" w:lineRule="exact"/>
              <w:ind w:left="0" w:leftChars="0" w:right="0" w:rightChars="0" w:firstLine="400" w:firstLineChars="200"/>
              <w:jc w:val="center"/>
              <w:rPr>
                <w:rFonts w:hint="default" w:ascii="Calibri" w:hAnsi="Calibri" w:cs="Calibri"/>
                <w:i w:val="0"/>
                <w:iCs w:val="0"/>
                <w:color w:val="auto"/>
                <w:sz w:val="20"/>
                <w:szCs w:val="20"/>
                <w:u w:val="none" w:color="auto"/>
              </w:rPr>
            </w:pPr>
          </w:p>
        </w:tc>
        <w:tc>
          <w:tcPr>
            <w:tcW w:w="888" w:type="dxa"/>
            <w:tcBorders>
              <w:top w:val="single" w:color="000000" w:sz="4" w:space="0"/>
              <w:left w:val="single" w:color="000000" w:sz="4" w:space="0"/>
              <w:bottom w:val="single" w:color="000000" w:sz="4" w:space="0"/>
              <w:right w:val="single" w:color="000000" w:sz="4" w:space="0"/>
            </w:tcBorders>
            <w:noWrap w:val="0"/>
            <w:vAlign w:val="center"/>
          </w:tcPr>
          <w:p w14:paraId="24700231">
            <w:pPr>
              <w:keepNext w:val="0"/>
              <w:keepLines w:val="0"/>
              <w:pageBreakBefore w:val="0"/>
              <w:kinsoku/>
              <w:wordWrap/>
              <w:overflowPunct/>
              <w:topLinePunct w:val="0"/>
              <w:autoSpaceDE/>
              <w:autoSpaceDN/>
              <w:bidi w:val="0"/>
              <w:adjustRightInd/>
              <w:snapToGrid/>
              <w:spacing w:line="600" w:lineRule="exact"/>
              <w:ind w:left="0" w:leftChars="0" w:right="0" w:rightChars="0" w:firstLine="400" w:firstLineChars="200"/>
              <w:jc w:val="center"/>
              <w:rPr>
                <w:rFonts w:hint="eastAsia" w:ascii="宋体" w:hAnsi="宋体" w:eastAsia="宋体" w:cs="宋体"/>
                <w:i w:val="0"/>
                <w:iCs w:val="0"/>
                <w:color w:val="auto"/>
                <w:sz w:val="20"/>
                <w:szCs w:val="20"/>
                <w:u w:val="none" w:color="auto"/>
              </w:rPr>
            </w:pPr>
          </w:p>
        </w:tc>
        <w:tc>
          <w:tcPr>
            <w:tcW w:w="622" w:type="dxa"/>
            <w:tcBorders>
              <w:top w:val="single" w:color="000000" w:sz="4" w:space="0"/>
              <w:left w:val="single" w:color="000000" w:sz="4" w:space="0"/>
              <w:bottom w:val="single" w:color="000000" w:sz="4" w:space="0"/>
              <w:right w:val="single" w:color="000000" w:sz="4" w:space="0"/>
            </w:tcBorders>
            <w:noWrap w:val="0"/>
            <w:vAlign w:val="center"/>
          </w:tcPr>
          <w:p w14:paraId="49A8776A">
            <w:pPr>
              <w:keepNext w:val="0"/>
              <w:keepLines w:val="0"/>
              <w:pageBreakBefore w:val="0"/>
              <w:kinsoku/>
              <w:wordWrap/>
              <w:overflowPunct/>
              <w:topLinePunct w:val="0"/>
              <w:autoSpaceDE/>
              <w:autoSpaceDN/>
              <w:bidi w:val="0"/>
              <w:adjustRightInd/>
              <w:snapToGrid/>
              <w:spacing w:line="600" w:lineRule="exact"/>
              <w:ind w:left="0" w:leftChars="0" w:right="0" w:rightChars="0" w:firstLine="400" w:firstLineChars="200"/>
              <w:jc w:val="center"/>
              <w:rPr>
                <w:rFonts w:hint="eastAsia" w:ascii="宋体" w:hAnsi="宋体" w:eastAsia="宋体" w:cs="宋体"/>
                <w:i w:val="0"/>
                <w:iCs w:val="0"/>
                <w:color w:val="auto"/>
                <w:sz w:val="20"/>
                <w:szCs w:val="20"/>
                <w:u w:val="none" w:color="auto"/>
              </w:rPr>
            </w:pPr>
          </w:p>
        </w:tc>
        <w:tc>
          <w:tcPr>
            <w:tcW w:w="677" w:type="dxa"/>
            <w:tcBorders>
              <w:top w:val="single" w:color="000000" w:sz="4" w:space="0"/>
              <w:left w:val="single" w:color="000000" w:sz="4" w:space="0"/>
              <w:bottom w:val="single" w:color="000000" w:sz="4" w:space="0"/>
              <w:right w:val="single" w:color="000000" w:sz="4" w:space="0"/>
            </w:tcBorders>
            <w:noWrap w:val="0"/>
            <w:vAlign w:val="center"/>
          </w:tcPr>
          <w:p w14:paraId="7B350379">
            <w:pPr>
              <w:keepNext w:val="0"/>
              <w:keepLines w:val="0"/>
              <w:pageBreakBefore w:val="0"/>
              <w:kinsoku/>
              <w:wordWrap/>
              <w:overflowPunct/>
              <w:topLinePunct w:val="0"/>
              <w:autoSpaceDE/>
              <w:autoSpaceDN/>
              <w:bidi w:val="0"/>
              <w:adjustRightInd/>
              <w:snapToGrid/>
              <w:spacing w:line="600" w:lineRule="exact"/>
              <w:ind w:left="0" w:leftChars="0" w:right="0" w:rightChars="0" w:firstLine="400" w:firstLineChars="200"/>
              <w:jc w:val="center"/>
              <w:rPr>
                <w:rFonts w:hint="eastAsia" w:ascii="宋体" w:hAnsi="宋体" w:eastAsia="宋体" w:cs="宋体"/>
                <w:i w:val="0"/>
                <w:iCs w:val="0"/>
                <w:color w:val="auto"/>
                <w:sz w:val="20"/>
                <w:szCs w:val="20"/>
                <w:u w:val="none" w:color="auto"/>
              </w:rPr>
            </w:pPr>
          </w:p>
        </w:tc>
      </w:tr>
      <w:tr w14:paraId="263B57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9" w:hRule="atLeast"/>
        </w:trPr>
        <w:tc>
          <w:tcPr>
            <w:tcW w:w="493" w:type="dxa"/>
            <w:tcBorders>
              <w:top w:val="single" w:color="000000" w:sz="4" w:space="0"/>
              <w:left w:val="single" w:color="000000" w:sz="4" w:space="0"/>
              <w:bottom w:val="single" w:color="000000" w:sz="4" w:space="0"/>
              <w:right w:val="single" w:color="000000" w:sz="4" w:space="0"/>
            </w:tcBorders>
            <w:noWrap w:val="0"/>
            <w:vAlign w:val="center"/>
          </w:tcPr>
          <w:p w14:paraId="00B67F26">
            <w:pPr>
              <w:keepNext w:val="0"/>
              <w:keepLines w:val="0"/>
              <w:pageBreakBefore w:val="0"/>
              <w:kinsoku/>
              <w:wordWrap/>
              <w:overflowPunct/>
              <w:topLinePunct w:val="0"/>
              <w:autoSpaceDE/>
              <w:autoSpaceDN/>
              <w:bidi w:val="0"/>
              <w:adjustRightInd/>
              <w:snapToGrid/>
              <w:spacing w:line="600" w:lineRule="exact"/>
              <w:ind w:left="0" w:leftChars="0" w:right="0" w:rightChars="0" w:firstLine="480" w:firstLineChars="200"/>
              <w:jc w:val="center"/>
              <w:rPr>
                <w:rFonts w:hint="default" w:ascii="Calibri" w:hAnsi="Calibri" w:cs="Calibri"/>
                <w:i w:val="0"/>
                <w:iCs w:val="0"/>
                <w:color w:val="auto"/>
                <w:sz w:val="24"/>
                <w:szCs w:val="24"/>
                <w:u w:val="none" w:color="auto"/>
              </w:rPr>
            </w:pPr>
          </w:p>
        </w:tc>
        <w:tc>
          <w:tcPr>
            <w:tcW w:w="1639" w:type="dxa"/>
            <w:tcBorders>
              <w:top w:val="single" w:color="000000" w:sz="4" w:space="0"/>
              <w:left w:val="single" w:color="000000" w:sz="4" w:space="0"/>
              <w:bottom w:val="single" w:color="000000" w:sz="4" w:space="0"/>
              <w:right w:val="single" w:color="000000" w:sz="4" w:space="0"/>
            </w:tcBorders>
            <w:noWrap w:val="0"/>
            <w:vAlign w:val="center"/>
          </w:tcPr>
          <w:p w14:paraId="3AC627CA">
            <w:pPr>
              <w:keepNext w:val="0"/>
              <w:keepLines w:val="0"/>
              <w:pageBreakBefore w:val="0"/>
              <w:kinsoku/>
              <w:wordWrap/>
              <w:overflowPunct/>
              <w:topLinePunct w:val="0"/>
              <w:autoSpaceDE/>
              <w:autoSpaceDN/>
              <w:bidi w:val="0"/>
              <w:adjustRightInd/>
              <w:snapToGrid/>
              <w:spacing w:line="600" w:lineRule="exact"/>
              <w:ind w:left="0" w:leftChars="0" w:right="0" w:rightChars="0" w:firstLine="400" w:firstLineChars="200"/>
              <w:jc w:val="center"/>
              <w:rPr>
                <w:rFonts w:hint="eastAsia" w:ascii="宋体" w:hAnsi="宋体" w:eastAsia="宋体" w:cs="宋体"/>
                <w:i w:val="0"/>
                <w:iCs w:val="0"/>
                <w:color w:val="auto"/>
                <w:sz w:val="20"/>
                <w:szCs w:val="20"/>
                <w:u w:val="none" w:color="auto"/>
              </w:rPr>
            </w:pPr>
          </w:p>
        </w:tc>
        <w:tc>
          <w:tcPr>
            <w:tcW w:w="489" w:type="dxa"/>
            <w:tcBorders>
              <w:top w:val="single" w:color="000000" w:sz="4" w:space="0"/>
              <w:left w:val="single" w:color="000000" w:sz="4" w:space="0"/>
              <w:bottom w:val="single" w:color="000000" w:sz="4" w:space="0"/>
              <w:right w:val="single" w:color="000000" w:sz="4" w:space="0"/>
            </w:tcBorders>
            <w:noWrap w:val="0"/>
            <w:vAlign w:val="center"/>
          </w:tcPr>
          <w:p w14:paraId="7F6F18FD">
            <w:pPr>
              <w:keepNext w:val="0"/>
              <w:keepLines w:val="0"/>
              <w:pageBreakBefore w:val="0"/>
              <w:kinsoku/>
              <w:wordWrap/>
              <w:overflowPunct/>
              <w:topLinePunct w:val="0"/>
              <w:autoSpaceDE/>
              <w:autoSpaceDN/>
              <w:bidi w:val="0"/>
              <w:adjustRightInd/>
              <w:snapToGrid/>
              <w:spacing w:line="600" w:lineRule="exact"/>
              <w:ind w:left="0" w:leftChars="0" w:right="0" w:rightChars="0" w:firstLine="400" w:firstLineChars="200"/>
              <w:jc w:val="center"/>
              <w:rPr>
                <w:rFonts w:hint="eastAsia" w:ascii="宋体" w:hAnsi="宋体" w:eastAsia="宋体" w:cs="宋体"/>
                <w:i w:val="0"/>
                <w:iCs w:val="0"/>
                <w:color w:val="auto"/>
                <w:sz w:val="20"/>
                <w:szCs w:val="20"/>
                <w:u w:val="none" w:color="auto"/>
              </w:rPr>
            </w:pPr>
          </w:p>
        </w:tc>
        <w:tc>
          <w:tcPr>
            <w:tcW w:w="2379" w:type="dxa"/>
            <w:tcBorders>
              <w:top w:val="single" w:color="000000" w:sz="4" w:space="0"/>
              <w:left w:val="single" w:color="000000" w:sz="4" w:space="0"/>
              <w:bottom w:val="single" w:color="000000" w:sz="4" w:space="0"/>
              <w:right w:val="single" w:color="000000" w:sz="4" w:space="0"/>
            </w:tcBorders>
            <w:noWrap w:val="0"/>
            <w:vAlign w:val="center"/>
          </w:tcPr>
          <w:p w14:paraId="7035E576">
            <w:pPr>
              <w:keepNext w:val="0"/>
              <w:keepLines w:val="0"/>
              <w:pageBreakBefore w:val="0"/>
              <w:kinsoku/>
              <w:wordWrap/>
              <w:overflowPunct/>
              <w:topLinePunct w:val="0"/>
              <w:autoSpaceDE/>
              <w:autoSpaceDN/>
              <w:bidi w:val="0"/>
              <w:adjustRightInd/>
              <w:snapToGrid/>
              <w:spacing w:line="600" w:lineRule="exact"/>
              <w:ind w:left="0" w:leftChars="0" w:right="0" w:rightChars="0" w:firstLine="400" w:firstLineChars="200"/>
              <w:jc w:val="center"/>
              <w:rPr>
                <w:rFonts w:hint="eastAsia" w:ascii="宋体" w:hAnsi="宋体" w:eastAsia="宋体" w:cs="宋体"/>
                <w:i w:val="0"/>
                <w:iCs w:val="0"/>
                <w:color w:val="auto"/>
                <w:sz w:val="20"/>
                <w:szCs w:val="20"/>
                <w:u w:val="none" w:color="auto"/>
              </w:rPr>
            </w:pPr>
          </w:p>
        </w:tc>
        <w:tc>
          <w:tcPr>
            <w:tcW w:w="966" w:type="dxa"/>
            <w:tcBorders>
              <w:top w:val="single" w:color="000000" w:sz="4" w:space="0"/>
              <w:left w:val="single" w:color="000000" w:sz="4" w:space="0"/>
              <w:bottom w:val="single" w:color="000000" w:sz="4" w:space="0"/>
              <w:right w:val="single" w:color="000000" w:sz="4" w:space="0"/>
            </w:tcBorders>
            <w:noWrap w:val="0"/>
            <w:vAlign w:val="center"/>
          </w:tcPr>
          <w:p w14:paraId="0B873BA9">
            <w:pPr>
              <w:keepNext w:val="0"/>
              <w:keepLines w:val="0"/>
              <w:pageBreakBefore w:val="0"/>
              <w:kinsoku/>
              <w:wordWrap/>
              <w:overflowPunct/>
              <w:topLinePunct w:val="0"/>
              <w:autoSpaceDE/>
              <w:autoSpaceDN/>
              <w:bidi w:val="0"/>
              <w:adjustRightInd/>
              <w:snapToGrid/>
              <w:spacing w:line="600" w:lineRule="exact"/>
              <w:ind w:left="0" w:leftChars="0" w:right="0" w:rightChars="0" w:firstLine="400" w:firstLineChars="200"/>
              <w:jc w:val="center"/>
              <w:rPr>
                <w:rFonts w:hint="default" w:ascii="Calibri" w:hAnsi="Calibri" w:cs="Calibri"/>
                <w:i w:val="0"/>
                <w:iCs w:val="0"/>
                <w:color w:val="auto"/>
                <w:sz w:val="20"/>
                <w:szCs w:val="20"/>
                <w:u w:val="none" w:color="auto"/>
              </w:rPr>
            </w:pPr>
          </w:p>
        </w:tc>
        <w:tc>
          <w:tcPr>
            <w:tcW w:w="1963" w:type="dxa"/>
            <w:tcBorders>
              <w:top w:val="single" w:color="000000" w:sz="4" w:space="0"/>
              <w:left w:val="single" w:color="000000" w:sz="4" w:space="0"/>
              <w:bottom w:val="single" w:color="000000" w:sz="4" w:space="0"/>
              <w:right w:val="single" w:color="000000" w:sz="4" w:space="0"/>
            </w:tcBorders>
            <w:noWrap w:val="0"/>
            <w:vAlign w:val="center"/>
          </w:tcPr>
          <w:p w14:paraId="1C946FA4">
            <w:pPr>
              <w:keepNext w:val="0"/>
              <w:keepLines w:val="0"/>
              <w:pageBreakBefore w:val="0"/>
              <w:kinsoku/>
              <w:wordWrap/>
              <w:overflowPunct/>
              <w:topLinePunct w:val="0"/>
              <w:autoSpaceDE/>
              <w:autoSpaceDN/>
              <w:bidi w:val="0"/>
              <w:adjustRightInd/>
              <w:snapToGrid/>
              <w:spacing w:line="600" w:lineRule="exact"/>
              <w:ind w:left="0" w:leftChars="0" w:right="0" w:rightChars="0" w:firstLine="400" w:firstLineChars="200"/>
              <w:jc w:val="center"/>
              <w:rPr>
                <w:rFonts w:hint="default" w:ascii="Calibri" w:hAnsi="Calibri" w:cs="Calibri"/>
                <w:i w:val="0"/>
                <w:iCs w:val="0"/>
                <w:color w:val="auto"/>
                <w:sz w:val="20"/>
                <w:szCs w:val="20"/>
                <w:u w:val="none" w:color="auto"/>
              </w:rPr>
            </w:pPr>
          </w:p>
        </w:tc>
        <w:tc>
          <w:tcPr>
            <w:tcW w:w="888" w:type="dxa"/>
            <w:tcBorders>
              <w:top w:val="single" w:color="000000" w:sz="4" w:space="0"/>
              <w:left w:val="single" w:color="000000" w:sz="4" w:space="0"/>
              <w:bottom w:val="single" w:color="000000" w:sz="4" w:space="0"/>
              <w:right w:val="single" w:color="000000" w:sz="4" w:space="0"/>
            </w:tcBorders>
            <w:noWrap w:val="0"/>
            <w:vAlign w:val="center"/>
          </w:tcPr>
          <w:p w14:paraId="6C5DC1D1">
            <w:pPr>
              <w:keepNext w:val="0"/>
              <w:keepLines w:val="0"/>
              <w:pageBreakBefore w:val="0"/>
              <w:kinsoku/>
              <w:wordWrap/>
              <w:overflowPunct/>
              <w:topLinePunct w:val="0"/>
              <w:autoSpaceDE/>
              <w:autoSpaceDN/>
              <w:bidi w:val="0"/>
              <w:adjustRightInd/>
              <w:snapToGrid/>
              <w:spacing w:line="600" w:lineRule="exact"/>
              <w:ind w:left="0" w:leftChars="0" w:right="0" w:rightChars="0" w:firstLine="400" w:firstLineChars="200"/>
              <w:jc w:val="center"/>
              <w:rPr>
                <w:rFonts w:hint="eastAsia" w:ascii="宋体" w:hAnsi="宋体" w:eastAsia="宋体" w:cs="宋体"/>
                <w:i w:val="0"/>
                <w:iCs w:val="0"/>
                <w:color w:val="auto"/>
                <w:sz w:val="20"/>
                <w:szCs w:val="20"/>
                <w:u w:val="none" w:color="auto"/>
              </w:rPr>
            </w:pPr>
          </w:p>
        </w:tc>
        <w:tc>
          <w:tcPr>
            <w:tcW w:w="622" w:type="dxa"/>
            <w:tcBorders>
              <w:top w:val="single" w:color="000000" w:sz="4" w:space="0"/>
              <w:left w:val="single" w:color="000000" w:sz="4" w:space="0"/>
              <w:bottom w:val="single" w:color="000000" w:sz="4" w:space="0"/>
              <w:right w:val="single" w:color="000000" w:sz="4" w:space="0"/>
            </w:tcBorders>
            <w:noWrap w:val="0"/>
            <w:vAlign w:val="center"/>
          </w:tcPr>
          <w:p w14:paraId="77746B36">
            <w:pPr>
              <w:keepNext w:val="0"/>
              <w:keepLines w:val="0"/>
              <w:pageBreakBefore w:val="0"/>
              <w:kinsoku/>
              <w:wordWrap/>
              <w:overflowPunct/>
              <w:topLinePunct w:val="0"/>
              <w:autoSpaceDE/>
              <w:autoSpaceDN/>
              <w:bidi w:val="0"/>
              <w:adjustRightInd/>
              <w:snapToGrid/>
              <w:spacing w:line="600" w:lineRule="exact"/>
              <w:ind w:left="0" w:leftChars="0" w:right="0" w:rightChars="0" w:firstLine="400" w:firstLineChars="200"/>
              <w:jc w:val="center"/>
              <w:rPr>
                <w:rFonts w:hint="eastAsia" w:ascii="宋体" w:hAnsi="宋体" w:eastAsia="宋体" w:cs="宋体"/>
                <w:i w:val="0"/>
                <w:iCs w:val="0"/>
                <w:color w:val="auto"/>
                <w:sz w:val="20"/>
                <w:szCs w:val="20"/>
                <w:u w:val="none" w:color="auto"/>
              </w:rPr>
            </w:pPr>
          </w:p>
        </w:tc>
        <w:tc>
          <w:tcPr>
            <w:tcW w:w="677" w:type="dxa"/>
            <w:tcBorders>
              <w:top w:val="single" w:color="000000" w:sz="4" w:space="0"/>
              <w:left w:val="single" w:color="000000" w:sz="4" w:space="0"/>
              <w:bottom w:val="single" w:color="000000" w:sz="4" w:space="0"/>
              <w:right w:val="single" w:color="000000" w:sz="4" w:space="0"/>
            </w:tcBorders>
            <w:noWrap w:val="0"/>
            <w:vAlign w:val="center"/>
          </w:tcPr>
          <w:p w14:paraId="703D48BC">
            <w:pPr>
              <w:keepNext w:val="0"/>
              <w:keepLines w:val="0"/>
              <w:pageBreakBefore w:val="0"/>
              <w:kinsoku/>
              <w:wordWrap/>
              <w:overflowPunct/>
              <w:topLinePunct w:val="0"/>
              <w:autoSpaceDE/>
              <w:autoSpaceDN/>
              <w:bidi w:val="0"/>
              <w:adjustRightInd/>
              <w:snapToGrid/>
              <w:spacing w:line="600" w:lineRule="exact"/>
              <w:ind w:left="0" w:leftChars="0" w:right="0" w:rightChars="0" w:firstLine="400" w:firstLineChars="200"/>
              <w:jc w:val="center"/>
              <w:rPr>
                <w:rFonts w:hint="eastAsia" w:ascii="宋体" w:hAnsi="宋体" w:eastAsia="宋体" w:cs="宋体"/>
                <w:i w:val="0"/>
                <w:iCs w:val="0"/>
                <w:color w:val="auto"/>
                <w:sz w:val="20"/>
                <w:szCs w:val="20"/>
                <w:u w:val="none" w:color="auto"/>
              </w:rPr>
            </w:pPr>
          </w:p>
        </w:tc>
      </w:tr>
      <w:tr w14:paraId="378D05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3" w:hRule="atLeast"/>
        </w:trPr>
        <w:tc>
          <w:tcPr>
            <w:tcW w:w="493" w:type="dxa"/>
            <w:tcBorders>
              <w:top w:val="single" w:color="000000" w:sz="4" w:space="0"/>
              <w:left w:val="single" w:color="000000" w:sz="4" w:space="0"/>
              <w:bottom w:val="single" w:color="000000" w:sz="4" w:space="0"/>
              <w:right w:val="single" w:color="000000" w:sz="4" w:space="0"/>
            </w:tcBorders>
            <w:noWrap w:val="0"/>
            <w:vAlign w:val="center"/>
          </w:tcPr>
          <w:p w14:paraId="34717FAE">
            <w:pPr>
              <w:keepNext w:val="0"/>
              <w:keepLines w:val="0"/>
              <w:pageBreakBefore w:val="0"/>
              <w:kinsoku/>
              <w:wordWrap/>
              <w:overflowPunct/>
              <w:topLinePunct w:val="0"/>
              <w:autoSpaceDE/>
              <w:autoSpaceDN/>
              <w:bidi w:val="0"/>
              <w:adjustRightInd/>
              <w:snapToGrid/>
              <w:spacing w:line="600" w:lineRule="exact"/>
              <w:ind w:left="0" w:leftChars="0" w:right="0" w:rightChars="0" w:firstLine="480" w:firstLineChars="200"/>
              <w:jc w:val="center"/>
              <w:rPr>
                <w:rFonts w:hint="default" w:ascii="Calibri" w:hAnsi="Calibri" w:cs="Calibri"/>
                <w:i w:val="0"/>
                <w:iCs w:val="0"/>
                <w:color w:val="auto"/>
                <w:sz w:val="24"/>
                <w:szCs w:val="24"/>
                <w:u w:val="none" w:color="auto"/>
              </w:rPr>
            </w:pPr>
          </w:p>
        </w:tc>
        <w:tc>
          <w:tcPr>
            <w:tcW w:w="1639" w:type="dxa"/>
            <w:tcBorders>
              <w:top w:val="single" w:color="000000" w:sz="4" w:space="0"/>
              <w:left w:val="single" w:color="000000" w:sz="4" w:space="0"/>
              <w:bottom w:val="single" w:color="000000" w:sz="4" w:space="0"/>
              <w:right w:val="single" w:color="000000" w:sz="4" w:space="0"/>
            </w:tcBorders>
            <w:noWrap w:val="0"/>
            <w:vAlign w:val="center"/>
          </w:tcPr>
          <w:p w14:paraId="4CBBA0B9">
            <w:pPr>
              <w:keepNext w:val="0"/>
              <w:keepLines w:val="0"/>
              <w:pageBreakBefore w:val="0"/>
              <w:kinsoku/>
              <w:wordWrap/>
              <w:overflowPunct/>
              <w:topLinePunct w:val="0"/>
              <w:autoSpaceDE/>
              <w:autoSpaceDN/>
              <w:bidi w:val="0"/>
              <w:adjustRightInd/>
              <w:snapToGrid/>
              <w:spacing w:line="600" w:lineRule="exact"/>
              <w:ind w:left="0" w:leftChars="0" w:right="0" w:rightChars="0" w:firstLine="400" w:firstLineChars="200"/>
              <w:jc w:val="center"/>
              <w:rPr>
                <w:rFonts w:hint="eastAsia" w:ascii="宋体" w:hAnsi="宋体" w:eastAsia="宋体" w:cs="宋体"/>
                <w:i w:val="0"/>
                <w:iCs w:val="0"/>
                <w:color w:val="auto"/>
                <w:sz w:val="20"/>
                <w:szCs w:val="20"/>
                <w:u w:val="none" w:color="auto"/>
              </w:rPr>
            </w:pPr>
          </w:p>
        </w:tc>
        <w:tc>
          <w:tcPr>
            <w:tcW w:w="489" w:type="dxa"/>
            <w:tcBorders>
              <w:top w:val="single" w:color="000000" w:sz="4" w:space="0"/>
              <w:left w:val="single" w:color="000000" w:sz="4" w:space="0"/>
              <w:bottom w:val="single" w:color="000000" w:sz="4" w:space="0"/>
              <w:right w:val="single" w:color="000000" w:sz="4" w:space="0"/>
            </w:tcBorders>
            <w:noWrap w:val="0"/>
            <w:vAlign w:val="center"/>
          </w:tcPr>
          <w:p w14:paraId="07440295">
            <w:pPr>
              <w:keepNext w:val="0"/>
              <w:keepLines w:val="0"/>
              <w:pageBreakBefore w:val="0"/>
              <w:kinsoku/>
              <w:wordWrap/>
              <w:overflowPunct/>
              <w:topLinePunct w:val="0"/>
              <w:autoSpaceDE/>
              <w:autoSpaceDN/>
              <w:bidi w:val="0"/>
              <w:adjustRightInd/>
              <w:snapToGrid/>
              <w:spacing w:line="600" w:lineRule="exact"/>
              <w:ind w:left="0" w:leftChars="0" w:right="0" w:rightChars="0" w:firstLine="400" w:firstLineChars="200"/>
              <w:jc w:val="center"/>
              <w:rPr>
                <w:rFonts w:hint="eastAsia" w:ascii="宋体" w:hAnsi="宋体" w:eastAsia="宋体" w:cs="宋体"/>
                <w:i w:val="0"/>
                <w:iCs w:val="0"/>
                <w:color w:val="auto"/>
                <w:sz w:val="20"/>
                <w:szCs w:val="20"/>
                <w:u w:val="none" w:color="auto"/>
              </w:rPr>
            </w:pPr>
          </w:p>
        </w:tc>
        <w:tc>
          <w:tcPr>
            <w:tcW w:w="2379" w:type="dxa"/>
            <w:tcBorders>
              <w:top w:val="single" w:color="000000" w:sz="4" w:space="0"/>
              <w:left w:val="single" w:color="000000" w:sz="4" w:space="0"/>
              <w:bottom w:val="single" w:color="000000" w:sz="4" w:space="0"/>
              <w:right w:val="single" w:color="000000" w:sz="4" w:space="0"/>
            </w:tcBorders>
            <w:noWrap w:val="0"/>
            <w:vAlign w:val="center"/>
          </w:tcPr>
          <w:p w14:paraId="2AF2359D">
            <w:pPr>
              <w:keepNext w:val="0"/>
              <w:keepLines w:val="0"/>
              <w:pageBreakBefore w:val="0"/>
              <w:kinsoku/>
              <w:wordWrap/>
              <w:overflowPunct/>
              <w:topLinePunct w:val="0"/>
              <w:autoSpaceDE/>
              <w:autoSpaceDN/>
              <w:bidi w:val="0"/>
              <w:adjustRightInd/>
              <w:snapToGrid/>
              <w:spacing w:line="600" w:lineRule="exact"/>
              <w:ind w:left="0" w:leftChars="0" w:right="0" w:rightChars="0" w:firstLine="400" w:firstLineChars="200"/>
              <w:jc w:val="center"/>
              <w:rPr>
                <w:rFonts w:hint="eastAsia" w:ascii="宋体" w:hAnsi="宋体" w:eastAsia="宋体" w:cs="宋体"/>
                <w:i w:val="0"/>
                <w:iCs w:val="0"/>
                <w:color w:val="auto"/>
                <w:sz w:val="20"/>
                <w:szCs w:val="20"/>
                <w:u w:val="none" w:color="auto"/>
              </w:rPr>
            </w:pPr>
          </w:p>
        </w:tc>
        <w:tc>
          <w:tcPr>
            <w:tcW w:w="966" w:type="dxa"/>
            <w:tcBorders>
              <w:top w:val="single" w:color="000000" w:sz="4" w:space="0"/>
              <w:left w:val="single" w:color="000000" w:sz="4" w:space="0"/>
              <w:bottom w:val="single" w:color="000000" w:sz="4" w:space="0"/>
              <w:right w:val="single" w:color="000000" w:sz="4" w:space="0"/>
            </w:tcBorders>
            <w:noWrap w:val="0"/>
            <w:vAlign w:val="center"/>
          </w:tcPr>
          <w:p w14:paraId="416AACDA">
            <w:pPr>
              <w:keepNext w:val="0"/>
              <w:keepLines w:val="0"/>
              <w:pageBreakBefore w:val="0"/>
              <w:kinsoku/>
              <w:wordWrap/>
              <w:overflowPunct/>
              <w:topLinePunct w:val="0"/>
              <w:autoSpaceDE/>
              <w:autoSpaceDN/>
              <w:bidi w:val="0"/>
              <w:adjustRightInd/>
              <w:snapToGrid/>
              <w:spacing w:line="600" w:lineRule="exact"/>
              <w:ind w:left="0" w:leftChars="0" w:right="0" w:rightChars="0" w:firstLine="400" w:firstLineChars="200"/>
              <w:jc w:val="center"/>
              <w:rPr>
                <w:rFonts w:hint="default" w:ascii="Calibri" w:hAnsi="Calibri" w:cs="Calibri"/>
                <w:i w:val="0"/>
                <w:iCs w:val="0"/>
                <w:color w:val="auto"/>
                <w:sz w:val="20"/>
                <w:szCs w:val="20"/>
                <w:u w:val="none" w:color="auto"/>
              </w:rPr>
            </w:pPr>
          </w:p>
        </w:tc>
        <w:tc>
          <w:tcPr>
            <w:tcW w:w="1963" w:type="dxa"/>
            <w:tcBorders>
              <w:top w:val="single" w:color="000000" w:sz="4" w:space="0"/>
              <w:left w:val="single" w:color="000000" w:sz="4" w:space="0"/>
              <w:bottom w:val="single" w:color="000000" w:sz="4" w:space="0"/>
              <w:right w:val="single" w:color="000000" w:sz="4" w:space="0"/>
            </w:tcBorders>
            <w:noWrap w:val="0"/>
            <w:vAlign w:val="center"/>
          </w:tcPr>
          <w:p w14:paraId="624ABDF6">
            <w:pPr>
              <w:keepNext w:val="0"/>
              <w:keepLines w:val="0"/>
              <w:pageBreakBefore w:val="0"/>
              <w:kinsoku/>
              <w:wordWrap/>
              <w:overflowPunct/>
              <w:topLinePunct w:val="0"/>
              <w:autoSpaceDE/>
              <w:autoSpaceDN/>
              <w:bidi w:val="0"/>
              <w:adjustRightInd/>
              <w:snapToGrid/>
              <w:spacing w:line="600" w:lineRule="exact"/>
              <w:ind w:left="0" w:leftChars="0" w:right="0" w:rightChars="0" w:firstLine="400" w:firstLineChars="200"/>
              <w:jc w:val="center"/>
              <w:rPr>
                <w:rFonts w:hint="default" w:ascii="Calibri" w:hAnsi="Calibri" w:cs="Calibri"/>
                <w:i w:val="0"/>
                <w:iCs w:val="0"/>
                <w:color w:val="auto"/>
                <w:sz w:val="20"/>
                <w:szCs w:val="20"/>
                <w:u w:val="none" w:color="auto"/>
              </w:rPr>
            </w:pPr>
          </w:p>
        </w:tc>
        <w:tc>
          <w:tcPr>
            <w:tcW w:w="888" w:type="dxa"/>
            <w:tcBorders>
              <w:top w:val="single" w:color="000000" w:sz="4" w:space="0"/>
              <w:left w:val="single" w:color="000000" w:sz="4" w:space="0"/>
              <w:bottom w:val="single" w:color="000000" w:sz="4" w:space="0"/>
              <w:right w:val="single" w:color="000000" w:sz="4" w:space="0"/>
            </w:tcBorders>
            <w:noWrap w:val="0"/>
            <w:vAlign w:val="center"/>
          </w:tcPr>
          <w:p w14:paraId="647FC8CB">
            <w:pPr>
              <w:keepNext w:val="0"/>
              <w:keepLines w:val="0"/>
              <w:pageBreakBefore w:val="0"/>
              <w:kinsoku/>
              <w:wordWrap/>
              <w:overflowPunct/>
              <w:topLinePunct w:val="0"/>
              <w:autoSpaceDE/>
              <w:autoSpaceDN/>
              <w:bidi w:val="0"/>
              <w:adjustRightInd/>
              <w:snapToGrid/>
              <w:spacing w:line="600" w:lineRule="exact"/>
              <w:ind w:left="0" w:leftChars="0" w:right="0" w:rightChars="0" w:firstLine="400" w:firstLineChars="200"/>
              <w:jc w:val="center"/>
              <w:rPr>
                <w:rFonts w:hint="eastAsia" w:ascii="宋体" w:hAnsi="宋体" w:eastAsia="宋体" w:cs="宋体"/>
                <w:i w:val="0"/>
                <w:iCs w:val="0"/>
                <w:color w:val="auto"/>
                <w:sz w:val="20"/>
                <w:szCs w:val="20"/>
                <w:u w:val="none" w:color="auto"/>
              </w:rPr>
            </w:pPr>
          </w:p>
        </w:tc>
        <w:tc>
          <w:tcPr>
            <w:tcW w:w="622" w:type="dxa"/>
            <w:tcBorders>
              <w:top w:val="single" w:color="000000" w:sz="4" w:space="0"/>
              <w:left w:val="single" w:color="000000" w:sz="4" w:space="0"/>
              <w:bottom w:val="single" w:color="000000" w:sz="4" w:space="0"/>
              <w:right w:val="single" w:color="000000" w:sz="4" w:space="0"/>
            </w:tcBorders>
            <w:noWrap w:val="0"/>
            <w:vAlign w:val="center"/>
          </w:tcPr>
          <w:p w14:paraId="0BABD8EF">
            <w:pPr>
              <w:keepNext w:val="0"/>
              <w:keepLines w:val="0"/>
              <w:pageBreakBefore w:val="0"/>
              <w:kinsoku/>
              <w:wordWrap/>
              <w:overflowPunct/>
              <w:topLinePunct w:val="0"/>
              <w:autoSpaceDE/>
              <w:autoSpaceDN/>
              <w:bidi w:val="0"/>
              <w:adjustRightInd/>
              <w:snapToGrid/>
              <w:spacing w:line="600" w:lineRule="exact"/>
              <w:ind w:left="0" w:leftChars="0" w:right="0" w:rightChars="0" w:firstLine="400" w:firstLineChars="200"/>
              <w:jc w:val="center"/>
              <w:rPr>
                <w:rFonts w:hint="eastAsia" w:ascii="宋体" w:hAnsi="宋体" w:eastAsia="宋体" w:cs="宋体"/>
                <w:i w:val="0"/>
                <w:iCs w:val="0"/>
                <w:color w:val="auto"/>
                <w:sz w:val="20"/>
                <w:szCs w:val="20"/>
                <w:u w:val="none" w:color="auto"/>
              </w:rPr>
            </w:pPr>
          </w:p>
        </w:tc>
        <w:tc>
          <w:tcPr>
            <w:tcW w:w="677" w:type="dxa"/>
            <w:tcBorders>
              <w:top w:val="single" w:color="000000" w:sz="4" w:space="0"/>
              <w:left w:val="single" w:color="000000" w:sz="4" w:space="0"/>
              <w:bottom w:val="single" w:color="000000" w:sz="4" w:space="0"/>
              <w:right w:val="single" w:color="000000" w:sz="4" w:space="0"/>
            </w:tcBorders>
            <w:noWrap w:val="0"/>
            <w:vAlign w:val="center"/>
          </w:tcPr>
          <w:p w14:paraId="36B439CF">
            <w:pPr>
              <w:keepNext w:val="0"/>
              <w:keepLines w:val="0"/>
              <w:pageBreakBefore w:val="0"/>
              <w:kinsoku/>
              <w:wordWrap/>
              <w:overflowPunct/>
              <w:topLinePunct w:val="0"/>
              <w:autoSpaceDE/>
              <w:autoSpaceDN/>
              <w:bidi w:val="0"/>
              <w:adjustRightInd/>
              <w:snapToGrid/>
              <w:spacing w:line="600" w:lineRule="exact"/>
              <w:ind w:left="0" w:leftChars="0" w:right="0" w:rightChars="0" w:firstLine="400" w:firstLineChars="200"/>
              <w:jc w:val="center"/>
              <w:rPr>
                <w:rFonts w:hint="eastAsia" w:ascii="宋体" w:hAnsi="宋体" w:eastAsia="宋体" w:cs="宋体"/>
                <w:i w:val="0"/>
                <w:iCs w:val="0"/>
                <w:color w:val="auto"/>
                <w:sz w:val="20"/>
                <w:szCs w:val="20"/>
                <w:u w:val="none" w:color="auto"/>
              </w:rPr>
            </w:pPr>
          </w:p>
        </w:tc>
      </w:tr>
    </w:tbl>
    <w:p w14:paraId="3CBAAA83">
      <w:pPr>
        <w:keepNext w:val="0"/>
        <w:keepLines w:val="0"/>
        <w:pageBreakBefore w:val="0"/>
        <w:widowControl w:val="0"/>
        <w:kinsoku/>
        <w:wordWrap/>
        <w:overflowPunct/>
        <w:topLinePunct w:val="0"/>
        <w:autoSpaceDE/>
        <w:autoSpaceDN/>
        <w:bidi w:val="0"/>
        <w:adjustRightInd/>
        <w:snapToGrid/>
        <w:spacing w:afterAutospacing="0" w:line="590" w:lineRule="exact"/>
        <w:ind w:firstLine="560" w:firstLineChars="200"/>
        <w:jc w:val="both"/>
        <w:textAlignment w:val="auto"/>
        <w:rPr>
          <w:rFonts w:hint="default" w:ascii="Times New Roman" w:hAnsi="Times New Roman" w:eastAsia="方正仿宋_GBK" w:cs="Times New Roman"/>
          <w:sz w:val="32"/>
          <w:szCs w:val="32"/>
        </w:rPr>
      </w:pPr>
      <w:r>
        <w:rPr>
          <w:rFonts w:hint="eastAsia" w:ascii="仿宋_GB2312" w:hAnsi="仿宋_GB2312" w:eastAsia="仿宋_GB2312" w:cs="仿宋_GB2312"/>
          <w:i w:val="0"/>
          <w:iCs w:val="0"/>
          <w:caps w:val="0"/>
          <w:color w:val="auto"/>
          <w:spacing w:val="0"/>
          <w:sz w:val="28"/>
          <w:szCs w:val="28"/>
          <w:u w:val="none" w:color="auto"/>
          <w:shd w:val="clear" w:color="auto" w:fill="FFFFFF"/>
          <w:lang w:val="en-US" w:eastAsia="zh-CN"/>
        </w:rPr>
        <w:t>报送单位：                    联系人：                        联系电话：</w:t>
      </w:r>
    </w:p>
    <w:sectPr>
      <w:headerReference r:id="rId3" w:type="default"/>
      <w:footerReference r:id="rId4" w:type="default"/>
      <w:pgSz w:w="11906" w:h="16838"/>
      <w:pgMar w:top="1962" w:right="1474" w:bottom="1848" w:left="1587" w:header="851" w:footer="992" w:gutter="0"/>
      <w:pgNumType w:fmt="numberInDash"/>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仿宋简体">
    <w:altName w:val="方正仿宋_GBK"/>
    <w:panose1 w:val="03000509000000000000"/>
    <w:charset w:val="86"/>
    <w:family w:val="auto"/>
    <w:pitch w:val="default"/>
    <w:sig w:usb0="00000000" w:usb1="0000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黑体_GBK">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方正楷体_GBK">
    <w:panose1 w:val="03000509000000000000"/>
    <w:charset w:val="86"/>
    <w:family w:val="auto"/>
    <w:pitch w:val="default"/>
    <w:sig w:usb0="00000001" w:usb1="080E0000" w:usb2="00000000" w:usb3="00000000" w:csb0="00040000" w:csb1="00000000"/>
  </w:font>
  <w:font w:name="方正兰亭超细黑简体">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6A537">
    <w:pPr>
      <w:pStyle w:val="5"/>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FC71192">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R89qo3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jtbVh6p7&#10;gCm0LGz1zvKYJkrl7eoYIG1SPArUqYJOxQPmMPWs35k46H+eU9Tj/8Ty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UfPaqNwIAAG8EAAAOAAAAAAAAAAEAIAAAAB8BAABkcnMvZTJvRG9jLnht&#10;bFBLBQYAAAAABgAGAFkBAADIBQAAAAA=&#10;">
              <v:fill on="f" focussize="0,0"/>
              <v:stroke on="f" weight="0.5pt"/>
              <v:imagedata o:title=""/>
              <o:lock v:ext="edit" aspectratio="f"/>
              <v:textbox inset="0mm,0mm,0mm,0mm" style="mso-fit-shape-to-text:t;">
                <w:txbxContent>
                  <w:p w14:paraId="0FC71192">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14:paraId="4F1DD9F9">
    <w:pPr>
      <w:pStyle w:val="5"/>
      <w:wordWrap w:val="0"/>
      <w:ind w:left="4788" w:leftChars="2280" w:firstLine="6400" w:firstLineChars="2000"/>
      <w:jc w:val="righ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noFill/>
                      <a:ln w="22225" cap="flat" cmpd="sng" algn="ctr">
                        <a:solidFill>
                          <a:srgbClr val="005192"/>
                        </a:solidFill>
                        <a:prstDash val="solid"/>
                        <a:miter lim="800000"/>
                      </a:ln>
                      <a:effectLst/>
                    </wps:spPr>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Dz&#10;p6XR1AAAAAYBAAAPAAAAAAAAAAEAIAAAACIAAABkcnMvZG93bnJldi54bWxQSwECFAAUAAAACACH&#10;TuJAB6gkL+8BAADDAwAADgAAAAAAAAABACAAAAAjAQAAZHJzL2Uyb0RvYy54bWxQSwUGAAAAAAYA&#10;BgBZAQAAhAUAAAAA&#10;">
              <v:fill on="f" focussize="0,0"/>
              <v:stroke weight="1.75pt" color="#005192" miterlimit="8" joinstyle="miter"/>
              <v:imagedata o:title=""/>
              <o:lock v:ext="edit" aspectratio="f"/>
            </v:line>
          </w:pict>
        </mc:Fallback>
      </mc:AlternateContent>
    </w:r>
    <w:r>
      <w:rPr>
        <w:rFonts w:hint="eastAsia" w:eastAsia="仿宋"/>
        <w:color w:val="FAFAFA"/>
        <w:sz w:val="32"/>
        <w:szCs w:val="48"/>
        <w:lang w:val="en-US" w:eastAsia="zh-CN"/>
      </w:rPr>
      <w:t>X</w:t>
    </w:r>
    <w:r>
      <w:rPr>
        <w:rFonts w:hint="eastAsia" w:ascii="宋体" w:hAnsi="宋体" w:eastAsia="宋体" w:cs="宋体"/>
        <w:b/>
        <w:bCs/>
        <w:color w:val="005192"/>
        <w:sz w:val="28"/>
        <w:szCs w:val="28"/>
        <w:lang w:val="en-US" w:eastAsia="zh-CN"/>
      </w:rPr>
      <w:t>亳州市人民政府办公室发布</w:t>
    </w:r>
    <w:r>
      <w:rPr>
        <w:rFonts w:hint="eastAsia" w:ascii="宋体" w:hAnsi="宋体" w:eastAsia="宋体" w:cs="宋体"/>
        <w:b/>
        <w:bCs/>
        <w:color w:val="005192"/>
        <w:sz w:val="32"/>
        <w:szCs w:val="32"/>
        <w:lang w:val="en-US" w:eastAsia="zh-CN"/>
      </w:rPr>
      <w:t xml:space="preserve"> </w:t>
    </w:r>
    <w:r>
      <w:rPr>
        <w:rFonts w:hint="eastAsia" w:ascii="宋体" w:hAnsi="宋体" w:eastAsia="宋体" w:cs="宋体"/>
        <w:b/>
        <w:bCs/>
        <w:color w:val="005192"/>
        <w:sz w:val="28"/>
        <w:szCs w:val="44"/>
        <w:lang w:val="en-US" w:eastAsia="zh-CN"/>
      </w:rPr>
      <w:t xml:space="preserve">   </w:t>
    </w:r>
  </w:p>
  <w:p w14:paraId="1927734D">
    <w:pPr>
      <w:pStyle w:val="5"/>
      <w:wordWrap w:val="0"/>
      <w:ind w:left="4788" w:leftChars="2280" w:firstLine="5622"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1F82ED">
    <w:pPr>
      <w:pStyle w:val="5"/>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0795" r="18415" b="17780"/>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noFill/>
                      <a:ln w="22225" cap="flat" cmpd="sng" algn="ctr">
                        <a:solidFill>
                          <a:srgbClr val="005192"/>
                        </a:solidFill>
                        <a:prstDash val="solid"/>
                        <a:miter lim="800000"/>
                      </a:ln>
                      <a:effectLst/>
                    </wps:spPr>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pSLLs/cBAADLAwAADgAAAGRycy9lMm9Eb2MueG1srVNNjtMw&#10;FN4jcQfLe5o005YSNZ3FVMMGQSXgAK5jJ5b8Jz9P016CCyCxgxVL9tyG4Rg8O2EY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74g+EDxJfCGZKChmplE31Ws+MriNgXS3+XpGXrrpXW+Qq1JUNDK/wSNENfSvQD&#10;hsYjN7AdJUx3aHgeQ4YEp1WbticgCN3hSgdyZMkm5XL+okqksd1fZan3jkE/1uXUaCCjIr4JrQxy&#10;LtM37dY2oYvsw4lBEnKULkUH156zokWa4R3nppMfk4nuzzG+/wa3v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DUR0DW1QAAAAkBAAAPAAAAAAAAAAEAIAAAACIAAABkcnMvZG93bnJldi54bWxQSwEC&#10;FAAUAAAACACHTuJApSLLs/cBAADLAwAADgAAAAAAAAABACAAAAAkAQAAZHJzL2Uyb0RvYy54bWxQ&#10;SwUGAAAAAAYABgBZAQAAjQUAAAAA&#10;">
              <v:fill on="f" focussize="0,0"/>
              <v:stroke weight="1.75pt" color="#005192" miterlimit="8" joinstyle="miter"/>
              <v:imagedata o:title=""/>
              <o:lock v:ext="edit" aspectratio="f"/>
            </v:line>
          </w:pict>
        </mc:Fallback>
      </mc:AlternateContent>
    </w:r>
  </w:p>
  <w:p w14:paraId="442F9DF3">
    <w:pPr>
      <w:pStyle w:val="5"/>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5240" b="15240"/>
          <wp:docPr id="1" name="图片 1"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国徽1024"/>
                  <pic:cNvPicPr>
                    <a:picLocks noChangeAspect="1"/>
                  </pic:cNvPicPr>
                </pic:nvPicPr>
                <pic:blipFill>
                  <a:blip r:embed="rId1"/>
                  <a:stretch>
                    <a:fillRect/>
                  </a:stretch>
                </pic:blipFill>
                <pic:spPr>
                  <a:xfrm>
                    <a:off x="0" y="0"/>
                    <a:ext cx="308610" cy="308610"/>
                  </a:xfrm>
                  <a:prstGeom prst="rect">
                    <a:avLst/>
                  </a:prstGeom>
                  <a:noFill/>
                  <a:ln>
                    <a:noFill/>
                  </a:ln>
                </pic:spPr>
              </pic:pic>
            </a:graphicData>
          </a:graphic>
        </wp:inline>
      </w:drawing>
    </w:r>
    <w:r>
      <w:rPr>
        <w:rFonts w:hint="eastAsia" w:ascii="宋体" w:hAnsi="宋体" w:eastAsia="宋体" w:cs="宋体"/>
        <w:b/>
        <w:bCs/>
        <w:color w:val="005192"/>
        <w:sz w:val="32"/>
        <w:lang w:val="en-US" w:eastAsia="zh-CN"/>
      </w:rPr>
      <w:t>亳州市人民政府行政</w:t>
    </w:r>
    <w:r>
      <w:rPr>
        <w:rFonts w:hint="eastAsia" w:ascii="宋体" w:hAnsi="宋体" w:eastAsia="宋体" w:cs="宋体"/>
        <w:b/>
        <w:bCs/>
        <w:color w:val="005192"/>
        <w:sz w:val="32"/>
        <w:szCs w:val="32"/>
        <w:lang w:val="en-US" w:eastAsia="zh-CN"/>
      </w:rPr>
      <w:t>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cyNjc3YWM5NGYyODYxNDE1ODhkZTI5ZTViNmNkZDAifQ=="/>
  </w:docVars>
  <w:rsids>
    <w:rsidRoot w:val="00172A27"/>
    <w:rsid w:val="378D688D"/>
    <w:rsid w:val="3868100C"/>
    <w:rsid w:val="47F343E9"/>
    <w:rsid w:val="4D0F6EC5"/>
    <w:rsid w:val="5FF626F2"/>
    <w:rsid w:val="7164523F"/>
    <w:rsid w:val="72775C7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100" w:beforeAutospacing="1" w:after="100" w:afterAutospacing="1"/>
      <w:ind w:left="0" w:right="0"/>
      <w:jc w:val="left"/>
    </w:pPr>
    <w:rPr>
      <w:kern w:val="0"/>
      <w:sz w:val="24"/>
      <w:lang w:val="en-US" w:eastAsia="zh-CN" w:bidi="ar"/>
    </w:rPr>
  </w:style>
  <w:style w:type="table" w:styleId="8">
    <w:name w:val="Table Grid"/>
    <w:basedOn w:val="7"/>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仿宋正文"/>
    <w:basedOn w:val="1"/>
    <w:qFormat/>
    <w:uiPriority w:val="0"/>
    <w:pPr>
      <w:spacing w:line="600" w:lineRule="exact"/>
      <w:ind w:firstLine="420" w:firstLineChars="200"/>
    </w:pPr>
    <w:rPr>
      <w:rFonts w:eastAsia="方正仿宋简体"/>
      <w:szCs w:val="32"/>
    </w:rPr>
  </w:style>
  <w:style w:type="paragraph" w:customStyle="1" w:styleId="11">
    <w:name w:val="Normal (Web)"/>
    <w:basedOn w:val="1"/>
    <w:uiPriority w:val="0"/>
    <w:pPr>
      <w:widowControl/>
      <w:spacing w:before="100" w:beforeLines="0" w:beforeAutospacing="1" w:after="100" w:afterLines="0" w:afterAutospacing="1"/>
      <w:jc w:val="left"/>
    </w:pPr>
    <w:rPr>
      <w:rFonts w:hint="eastAsia" w:ascii="宋体" w:hAnsi="宋体"/>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9</Pages>
  <Words>4869</Words>
  <Characters>4891</Characters>
  <Lines>0</Lines>
  <Paragraphs>0</Paragraphs>
  <TotalTime>1</TotalTime>
  <ScaleCrop>false</ScaleCrop>
  <LinksUpToDate>false</LinksUpToDate>
  <CharactersWithSpaces>5010</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2024-11-15T09:15:17Z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44C402D1BD274312B931B08488C6A760</vt:lpwstr>
  </property>
</Properties>
</file>