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4D03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Autospacing="0" w:line="590" w:lineRule="exact"/>
        <w:ind w:right="0" w:rightChars="0"/>
        <w:jc w:val="both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7799B3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jc w:val="both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000000"/>
          <w:sz w:val="44"/>
          <w:szCs w:val="44"/>
          <w:lang w:val="en-US" w:eastAsia="zh-CN"/>
        </w:rPr>
      </w:pPr>
    </w:p>
    <w:p w14:paraId="189CB9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val="en-US" w:eastAsia="zh-CN"/>
        </w:rPr>
        <w:t>亳州市人民政府关于印发亳州市支持</w:t>
      </w:r>
    </w:p>
    <w:p w14:paraId="1D1065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val="en-US" w:eastAsia="zh-CN"/>
        </w:rPr>
        <w:t>实体经济高质量发展30条措施（修订）的通知</w:t>
      </w:r>
    </w:p>
    <w:p w14:paraId="65268D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仿宋_GBK" w:cs="Times New Roman"/>
          <w:color w:val="000000"/>
          <w:sz w:val="32"/>
          <w:lang w:eastAsia="zh-CN"/>
        </w:rPr>
        <w:t>亳政〔20</w:t>
      </w:r>
      <w:r>
        <w:rPr>
          <w:rFonts w:hint="default" w:ascii="Times New Roman" w:hAnsi="Times New Roman" w:eastAsia="方正仿宋_GBK" w:cs="Times New Roman"/>
          <w:color w:val="000000"/>
          <w:sz w:val="32"/>
          <w:lang w:val="en-US" w:eastAsia="zh-CN"/>
        </w:rPr>
        <w:t>24</w:t>
      </w:r>
      <w:r>
        <w:rPr>
          <w:rFonts w:hint="default" w:ascii="Times New Roman" w:hAnsi="Times New Roman" w:eastAsia="方正仿宋_GBK" w:cs="Times New Roman"/>
          <w:color w:val="000000"/>
          <w:sz w:val="32"/>
          <w:lang w:eastAsia="zh-CN"/>
        </w:rPr>
        <w:t>〕</w:t>
      </w:r>
      <w:r>
        <w:rPr>
          <w:rFonts w:hint="default" w:ascii="Times New Roman" w:hAnsi="Times New Roman" w:eastAsia="方正仿宋_GBK" w:cs="Times New Roman"/>
          <w:color w:val="000000"/>
          <w:sz w:val="32"/>
          <w:lang w:val="en-US" w:eastAsia="zh-CN"/>
        </w:rPr>
        <w:t>79</w:t>
      </w:r>
      <w:r>
        <w:rPr>
          <w:rFonts w:hint="default" w:ascii="Times New Roman" w:hAnsi="Times New Roman" w:eastAsia="方正仿宋_GBK" w:cs="Times New Roman"/>
          <w:color w:val="000000"/>
          <w:sz w:val="32"/>
          <w:lang w:eastAsia="zh-CN"/>
        </w:rPr>
        <w:t>号</w:t>
      </w:r>
    </w:p>
    <w:p w14:paraId="4025FB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spacing w:val="-4"/>
          <w:sz w:val="32"/>
          <w:szCs w:val="32"/>
          <w:lang w:val="en-US" w:eastAsia="zh-CN"/>
        </w:rPr>
      </w:pPr>
    </w:p>
    <w:p w14:paraId="63F8E5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textAlignment w:val="auto"/>
        <w:rPr>
          <w:rFonts w:hint="default" w:ascii="Times New Roman" w:hAnsi="Times New Roman" w:eastAsia="方正仿宋_GBK" w:cs="Times New Roman"/>
          <w:spacing w:val="-4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pacing w:val="-4"/>
          <w:sz w:val="32"/>
          <w:szCs w:val="32"/>
          <w:lang w:val="en-US" w:eastAsia="zh-CN"/>
        </w:rPr>
        <w:t>各县、区人民政府，亳州高新区管委会、亳芜现代产业园区管委会，市政府各部门、各直属机构</w:t>
      </w:r>
      <w:r>
        <w:rPr>
          <w:rFonts w:hint="eastAsia" w:ascii="Times New Roman" w:hAnsi="Times New Roman" w:eastAsia="方正仿宋_GBK" w:cs="Times New Roman"/>
          <w:spacing w:val="-4"/>
          <w:sz w:val="32"/>
          <w:szCs w:val="32"/>
          <w:lang w:val="en-US" w:eastAsia="zh-CN"/>
        </w:rPr>
        <w:t>：</w:t>
      </w:r>
    </w:p>
    <w:p w14:paraId="683403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 w:firstLine="624" w:firstLineChars="200"/>
        <w:textAlignment w:val="auto"/>
        <w:rPr>
          <w:rFonts w:hint="eastAsia" w:ascii="Times New Roman" w:hAnsi="Times New Roman" w:eastAsia="方正仿宋_GBK" w:cs="Times New Roman"/>
          <w:spacing w:val="-4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pacing w:val="-4"/>
          <w:sz w:val="32"/>
          <w:szCs w:val="32"/>
          <w:lang w:val="en-US" w:eastAsia="zh-CN"/>
        </w:rPr>
        <w:t>《亳州市支持实体经济高质量发展30条措施（修订）》已经市政府研究同意，现印发给你们，请认真贯彻落实</w:t>
      </w:r>
      <w:r>
        <w:rPr>
          <w:rFonts w:hint="eastAsia" w:ascii="Times New Roman" w:hAnsi="Times New Roman" w:eastAsia="方正仿宋_GBK" w:cs="Times New Roman"/>
          <w:spacing w:val="-4"/>
          <w:sz w:val="32"/>
          <w:szCs w:val="32"/>
          <w:lang w:val="en-US" w:eastAsia="zh-CN"/>
        </w:rPr>
        <w:t>。</w:t>
      </w:r>
    </w:p>
    <w:p w14:paraId="3B91952E">
      <w:pPr>
        <w:pStyle w:val="2"/>
        <w:rPr>
          <w:rFonts w:hint="eastAsia" w:ascii="Times New Roman" w:hAnsi="Times New Roman" w:eastAsia="方正仿宋_GBK" w:cs="Times New Roman"/>
          <w:spacing w:val="-4"/>
          <w:sz w:val="32"/>
          <w:szCs w:val="32"/>
          <w:lang w:val="en-US" w:eastAsia="zh-CN"/>
        </w:rPr>
      </w:pPr>
    </w:p>
    <w:p w14:paraId="53E50A35">
      <w:pPr>
        <w:rPr>
          <w:rFonts w:hint="eastAsia"/>
          <w:lang w:val="en-US" w:eastAsia="zh-CN"/>
        </w:rPr>
      </w:pPr>
    </w:p>
    <w:p w14:paraId="52E38AD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90" w:lineRule="exact"/>
        <w:ind w:left="0" w:leftChars="0" w:right="420" w:rightChars="200" w:firstLine="0" w:firstLineChars="0"/>
        <w:jc w:val="right"/>
        <w:textAlignment w:val="auto"/>
        <w:rPr>
          <w:rFonts w:hint="default"/>
          <w:lang w:val="en-US" w:eastAsia="zh-CN"/>
        </w:rPr>
      </w:pPr>
      <w:r>
        <w:rPr>
          <w:rFonts w:hint="eastAsia" w:ascii="Times New Roman" w:hAnsi="Times New Roman" w:cs="Times New Roman"/>
          <w:spacing w:val="-4"/>
          <w:sz w:val="32"/>
          <w:szCs w:val="32"/>
          <w:lang w:val="en-US" w:eastAsia="zh-CN"/>
        </w:rPr>
        <w:t>亳州市人民政府</w:t>
      </w:r>
    </w:p>
    <w:p w14:paraId="41DDB66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90" w:lineRule="exact"/>
        <w:ind w:left="0" w:leftChars="0" w:right="145" w:rightChars="69" w:firstLine="0" w:firstLineChars="0"/>
        <w:jc w:val="right"/>
        <w:textAlignment w:val="auto"/>
        <w:rPr>
          <w:rFonts w:hint="default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962" w:right="1474" w:bottom="1848" w:left="1587" w:header="851" w:footer="992" w:gutter="0"/>
          <w:pgNumType w:fmt="numberInDash"/>
          <w:cols w:space="720" w:num="1"/>
          <w:rtlGutter w:val="0"/>
          <w:docGrid w:type="lines" w:linePitch="312" w:charSpace="0"/>
        </w:sectPr>
      </w:pPr>
      <w:r>
        <w:rPr>
          <w:rFonts w:hint="default"/>
          <w:lang w:val="en-US" w:eastAsia="zh-CN"/>
        </w:rPr>
        <w:t>2024年12月24日</w:t>
      </w:r>
    </w:p>
    <w:p w14:paraId="5C800E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val="en-US" w:eastAsia="zh-CN"/>
        </w:rPr>
      </w:pPr>
    </w:p>
    <w:p w14:paraId="5AEC65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val="en-US" w:eastAsia="zh-CN"/>
        </w:rPr>
        <w:t>亳州市支持实体经济高质量发展</w:t>
      </w:r>
    </w:p>
    <w:p w14:paraId="3ADFFC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0" w:rightChars="0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val="en-US" w:eastAsia="zh-CN"/>
        </w:rPr>
        <w:t>30</w:t>
      </w:r>
      <w:r>
        <w:rPr>
          <w:rFonts w:hint="eastAsia" w:ascii="Times New Roman" w:hAnsi="Times New Roman" w:eastAsia="方正小标宋_GBK" w:cs="Times New Roman"/>
          <w:b w:val="0"/>
          <w:bCs w:val="0"/>
          <w:color w:val="000000"/>
          <w:sz w:val="44"/>
          <w:szCs w:val="44"/>
          <w:lang w:val="en-US" w:eastAsia="zh-CN"/>
        </w:rPr>
        <w:t>条措施（修订）</w:t>
      </w:r>
    </w:p>
    <w:p w14:paraId="357B7339">
      <w:pPr>
        <w:pStyle w:val="2"/>
        <w:rPr>
          <w:rFonts w:hint="eastAsia"/>
          <w:lang w:val="en-US" w:eastAsia="zh-CN"/>
        </w:rPr>
      </w:pPr>
    </w:p>
    <w:p w14:paraId="7BF199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为深入贯彻党的二十大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和二十届二中、三中全会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精神，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全面落实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中央经济工作会议精神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、习近平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总书记考察安徽重要讲话精神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及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省委、省政府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推动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皖北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两个加快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部署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更好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支持实体经济发展，结合实际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制定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如下措施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</w:p>
    <w:p w14:paraId="543B98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一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、促进</w:t>
      </w: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科技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创新效能提升</w:t>
      </w:r>
    </w:p>
    <w:p w14:paraId="0465E8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（一）</w:t>
      </w:r>
      <w:r>
        <w:rPr>
          <w:rFonts w:hint="eastAsia" w:ascii="方正楷体_GBK" w:hAnsi="方正楷体_GBK" w:eastAsia="方正楷体_GBK" w:cs="方正楷体_GBK"/>
          <w:sz w:val="32"/>
          <w:szCs w:val="32"/>
        </w:rPr>
        <w:t>支持企业加大研发投入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7CED8B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对企业上年度研发经费投入超过100万元的按照研发经费投入不超过0.5%给予补贴，最高不超过50万元。</w:t>
      </w:r>
    </w:p>
    <w:p w14:paraId="6A5286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（二）支持高新技术企业发展。</w:t>
      </w:r>
    </w:p>
    <w:p w14:paraId="079FD6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新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认定的高新技术企业，给予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不超过10万元的奖励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对连续2次认定的高新技术企业，给予最高不超过15万元的奖励。</w:t>
      </w:r>
    </w:p>
    <w:p w14:paraId="01A85C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（三）支持科技成果转移转化。</w:t>
      </w:r>
    </w:p>
    <w:p w14:paraId="416D02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对企业购买高校科研院所科技成果并实施转移转化的，按其技术合同实际支付额给予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"/>
        </w:rPr>
        <w:t>不超过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%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补助。单个项目补助最高不超过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30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万元，单个企业补助当年最高不超过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50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万元。</w:t>
      </w:r>
    </w:p>
    <w:p w14:paraId="205DB3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积极发展首发经济，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加大对重点产业、重点领域科技成果转化产业化支持力度。对企业自主研发并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新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实施转化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产业化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的，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对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科技成果评估价值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不低于1000万元，并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经综合评估价值不低于1000万元的项目，给予不超过50%的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扶持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。对企业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新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引进科技成果并实施转化产业化的，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对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实际支付额不低于1000万元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并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经综合评估价值不低于1000万元的项目，给予不超过50%的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扶持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扶持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资金由受益财政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承担，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由各载体制定实施细则执行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。</w:t>
      </w:r>
    </w:p>
    <w:p w14:paraId="14F8B3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对获得省科学技术奖项目的第一完成单位，按一、二、三等奖，分别给予最高不超过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100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万元、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50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万元、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万元的奖励。</w:t>
      </w:r>
    </w:p>
    <w:p w14:paraId="3198E1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（四）支持重大专项协同攻关。</w:t>
      </w:r>
    </w:p>
    <w:p w14:paraId="318090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围绕现代中医药等主导产业和新兴产业培育等重大技术需求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，通过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公开竞争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定向委托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揭榜挂帅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等方式，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组织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开展关键核心技术攻关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项目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，给予不超过研发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总投入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30%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的补助，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最高不超过100万元。</w:t>
      </w:r>
    </w:p>
    <w:p w14:paraId="742C74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（五）支持创新创业平台建设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13B80D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对新认定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高能级和卓越级科技企业孵化器，给予最高不超过20万元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的奖励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。对新认定的基础级科技企业孵化器，给予最高不超过5万元的奖励。对基础级以上科技企业孵化器，毕业企业数比上年每新增1家，给予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不超过0.5万元的补助。对新获批（重组）的国家级、省级创新平台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不超过100万元、50万元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补助。</w:t>
      </w:r>
    </w:p>
    <w:p w14:paraId="16E28C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（六）支持企业创新发展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7F277D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对新认定国家级专精特新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小巨人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企业、省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级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专精特新中小企业，分别给予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不超过40万元、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5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万元的奖励。</w:t>
      </w:r>
    </w:p>
    <w:p w14:paraId="3C994E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对新认定国家级工程研究中心、国家级企业技术中心分别给予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不超过30万元的奖励。</w:t>
      </w:r>
    </w:p>
    <w:p w14:paraId="23D0AF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科技创新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奖励（补助）资金必须用于科技支出或研发活动，由单位自行立项使用，项目实施期不超过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年。</w:t>
      </w:r>
    </w:p>
    <w:p w14:paraId="167A59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二、促进工业经济转型升级</w:t>
      </w:r>
    </w:p>
    <w:p w14:paraId="1AAB26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（七）支持企业</w:t>
      </w:r>
      <w:bookmarkStart w:id="0" w:name="_GoBack"/>
      <w:bookmarkEnd w:id="0"/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发展壮大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64702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对首次入规且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连续两年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产值保持正增长的工业企业，给予15万元一次性奖励。对年产值首次突破1亿元、3亿元、5亿元、7亿元、10亿元、20亿元、30亿元、50亿元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100亿元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，且达到全市平均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增速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以上的制造业企业，分别给予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不超过5万元、8万元、10万元、15万元、20万元、30万元、40万元、50万元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100万元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的奖励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。对年产值首次突破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200亿元及以上的制造业企业，给予一次性奖励。</w:t>
      </w:r>
    </w:p>
    <w:p w14:paraId="6F38C5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（八）支持企业数字化转型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033958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对新获批省级智能工厂、数字化车间，分别给予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不超过20万元、10万元的奖励。</w:t>
      </w:r>
    </w:p>
    <w:p w14:paraId="149553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（九）支持企业品牌品质提升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616EB9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对新认定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安徽工业精品、省级新产品，分别给予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不超过10万元、5万元的奖励。对新认定的安徽省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三首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产品（首台套重大技术装备、首版次软件、首批次新材料），给予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不超过10万元的奖励。</w:t>
      </w:r>
    </w:p>
    <w:p w14:paraId="55A5AA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（十）支持企业绿色化发展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512DE1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对新认定国家级绿色供应链管理企业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国家级绿色工厂、省级绿色工厂，分别给予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0万元、30万元、10万元的奖励。</w:t>
      </w:r>
    </w:p>
    <w:p w14:paraId="3E0E6B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三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、促进农业数字化</w:t>
      </w: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、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绿色化</w:t>
      </w: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、品牌化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转型</w:t>
      </w:r>
    </w:p>
    <w:p w14:paraId="6A0ED3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（十一）支持新型农业经营主体发展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3D2591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对新认定国家级农业产业化龙头企业，每个给予最高不超过10万元的奖励。对新认定国家农民合作社示范社，每个给予最高不超过5万元的奖励。对新获批省级数字农业工厂，每个给予最高不超过3万元的奖励。对参加国际农产品交易会及省级以上（含省级）举办的重大农产品展示展销会的市场主体，每个给予最高不超过0.5万元/次的补贴。</w:t>
      </w:r>
    </w:p>
    <w:p w14:paraId="757F6C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（十二）支持基地示范创建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6437CC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对新认定省级长三角绿色农产品生产加工供应基地，每个给予最高不超过5万元的奖励。</w:t>
      </w:r>
    </w:p>
    <w:p w14:paraId="37590F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（十三）支持农业品牌培育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5F0E63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对国家农业农村部门新认定的绿色食品、名特优新农产品，每个产品分别给予最高不超过2万元、5万元的奖励。对新认定的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皖美农品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区域公用品牌、企业品牌、产品品牌，每个产品给予最高不超过3万元、2万元、1万元的奖励。对通过国家、安徽省审定的主要农作物新品种，每个品种分别给予最高不超过5万元、2万元的一次性奖励。</w:t>
      </w:r>
    </w:p>
    <w:p w14:paraId="221EE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方正黑体_GBK" w:hAnsi="方正黑体_GBK" w:eastAsia="方正黑体_GBK" w:cs="方正黑体_GBK"/>
          <w:sz w:val="32"/>
          <w:szCs w:val="32"/>
        </w:rPr>
        <w:t>四、促进商贸业提质扩容</w:t>
      </w:r>
    </w:p>
    <w:p w14:paraId="50B737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（十四）支持企业入库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6161EF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对年度入库市场主体，给予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不超过3万元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一次性奖励；对月度入库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市场主体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，给予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不超过5万元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的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一次性奖励。</w:t>
      </w:r>
    </w:p>
    <w:p w14:paraId="6FD606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（十五）支持进出口企业加快发展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53AE74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对进出口额实现正增长且达到全市平均增幅以上或年净增额达到200万美元以上的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中小进出口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企业，在稳定进出口增长等方面给予支持。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对企业投保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出口信用保险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，开展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国际产品认证、境外商标注册、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境外专利申请给予支持。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对新获批AEO认证的企业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给予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一定支持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对当年新开展业务且合规运营进出口实绩100万美元以上企业，给予一次性政策支持。</w:t>
      </w:r>
    </w:p>
    <w:p w14:paraId="36A0C6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（十六）支持企业开拓国际市场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3CE598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对参加境内国际贸易展会的企业，不超过2个展位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或光地20平方米以内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且展位费2万元以上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含2万元）的，给予不超过50%的补贴，每家企业每年最高不超过5万元。对参加境外展会的企业，给予最多2个（或光地40平方米以内）展位费最高70%的补贴，人员国际机票费（经济舱，每家企业2人以内）最高60%的补贴，每家企业每年最高不超过10万元。与省商务厅展会支持不重复享受。</w:t>
      </w:r>
    </w:p>
    <w:p w14:paraId="2BA47C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（十七）支持跨境电商发展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7A6AE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1.鼓励跨境电商企业线上推广。对利用第三方跨境电商平台开展线上推广且销售额100万美元以上的企业，按其实际电商平台服务年费给予50%一次性支持，单个企业年最高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不超过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5万元。入驻跨境电商市级集聚区且销售额100万美元以上的企业，按其实际电商平台服务年费给予不超过70%的支持，单个企业年最高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不超过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8万元。</w:t>
      </w:r>
    </w:p>
    <w:p w14:paraId="4C76B8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.鼓励跨境电商综合服务企业建设。对为跨境电商企业提供报关、物流、退税、结算、融资等综合服务或提供代运营等专业服务的跨境电商综合服务企业，且正常运营一年以上，服务跨境电商企业10家以上、跨境在线交易额300万美元以上的，给予最高不超过10万元的一次性支持。</w:t>
      </w:r>
    </w:p>
    <w:p w14:paraId="72C77F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3.支持海外仓建设。对在国（境）外建设或租赁海外仓，年仓库货物交易额300万美元以上，给予最高不超过10万元扶持。</w:t>
      </w:r>
    </w:p>
    <w:p w14:paraId="302F6B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（十八）促进外商投资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175559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在省级扶持政策基础上，给予一定支持。</w:t>
      </w:r>
    </w:p>
    <w:p w14:paraId="4B5BE6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（十九）支持商贸品牌化建设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7E8633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新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获批中华老字号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企业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不超过10万元的奖励。</w:t>
      </w:r>
    </w:p>
    <w:p w14:paraId="2F8FE4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五、促进服务业发展壮大</w:t>
      </w:r>
    </w:p>
    <w:p w14:paraId="7F7FB0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（二十）支持服务业企业发展壮大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2802D9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对首次进入规上服务业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  <w:t>且营收保持正增长的企业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，给予最高不超过</w:t>
      </w:r>
      <w:r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  <w:t>5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万元</w:t>
      </w:r>
      <w:r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  <w:t>的奖励。</w:t>
      </w:r>
    </w:p>
    <w:p w14:paraId="526915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对年</w:t>
      </w:r>
      <w:r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  <w:t>营业收入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首次突破2000万元、5000万元、1亿元、</w:t>
      </w:r>
      <w:r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  <w:t>3亿元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、5亿元，且达到全市平均增幅以上的其他营利性服务业企业，分别给予最高不超过2万元、5万元、10万元、15万元、20万元的奖励。</w:t>
      </w:r>
    </w:p>
    <w:p w14:paraId="20556C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（二十一）大力发展现代物流和供应链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5953D8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对新获批国家级和省级物流园区的，分别给予最高不超过30万元、20万元的奖励。</w:t>
      </w:r>
    </w:p>
    <w:p w14:paraId="75E046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对新获批国家级冷链物流基地、省级冷链物流基地、省级冷链集配中心的，分别给予最高不超过30万元、20万元、10万元的奖励。</w:t>
      </w:r>
    </w:p>
    <w:p w14:paraId="07AB69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对新获批5A级、4A级、3A级、2A级物流企业，分别给予最高不超过30万元、20万元、10万元、5万元的奖励。对新获批五星级、四星级、三星级、二星级冷链物流企业，分别给予最高不超过30万元、20万元、10万元、5万元的奖励。</w:t>
      </w:r>
    </w:p>
    <w:p w14:paraId="568534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对新认定的快递一级分拨中心，给予最高不超过50万元的奖励。</w:t>
      </w:r>
    </w:p>
    <w:p w14:paraId="215CFA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六、</w:t>
      </w: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促进</w:t>
      </w:r>
      <w:r>
        <w:rPr>
          <w:rFonts w:hint="eastAsia" w:ascii="方正黑体_GBK" w:hAnsi="方正黑体_GBK" w:eastAsia="方正黑体_GBK" w:cs="方正黑体_GBK"/>
          <w:sz w:val="32"/>
          <w:szCs w:val="32"/>
        </w:rPr>
        <w:t>标准强市建设</w:t>
      </w:r>
    </w:p>
    <w:p w14:paraId="414F78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（二十二）支持主导标准研制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58707D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对新制定国际标准、国家标准、行业标准排名第一位的起草单位，分别给予最高不超过100万元、50万元、30万元的奖励。排名第二位的起草单位，分别给予最高不超过50万元、20万元、10万元的奖励。</w:t>
      </w:r>
    </w:p>
    <w:p w14:paraId="44AC76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对新修订国际标准、国家标准、行业标准排名前两位的起草单位，按照制定同类标准对应奖励额度的30%给予奖励，最高不超过1万元。</w:t>
      </w:r>
    </w:p>
    <w:p w14:paraId="4EE303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对新制定省级标准排名第一位的、第二位的、市级地方标准排名第一位的起草单位，分别给予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不超过10万元、2万元、3万元的奖励。</w:t>
      </w:r>
    </w:p>
    <w:p w14:paraId="2C1D0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对新制定团体标准排名第一位的起草单位，给予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不超过3万元的奖励，总奖励金额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不超过50万元。对获评安徽省培优社会团体、团体标准典型案例的单位，分别给予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不超过5万元、3万元的奖励。</w:t>
      </w:r>
    </w:p>
    <w:p w14:paraId="7405AB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（二十三）支持标准化示范试点建设及创新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6881B5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对新获得国家标准创新贡献奖项目奖一、二、三等奖的，分别给予最高不超过30万元、20万元、10万元的奖励。</w:t>
      </w:r>
    </w:p>
    <w:p w14:paraId="00A46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对新获得安徽省标准创新贡献奖项目奖一、二、三等奖的，分别给予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不超过20万元、10万元、2万元的奖励。</w:t>
      </w:r>
    </w:p>
    <w:p w14:paraId="6DE273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对新通过验收的国家级、省级标准化示范试点单位，分别给予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不超过20万元、10万元的奖励。</w:t>
      </w:r>
    </w:p>
    <w:p w14:paraId="65A2E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对新获评全国企业标准领跑者的，每项给予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不超过8万元的奖励。</w:t>
      </w:r>
    </w:p>
    <w:p w14:paraId="22212C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对新通过验收的国家级、省级技术标准创新基地（中心）、国家级标准应用试点（验证点），分别给予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不超过30万元、20万元、10万元的奖励。</w:t>
      </w:r>
    </w:p>
    <w:p w14:paraId="1F17B2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sz w:val="32"/>
          <w:szCs w:val="32"/>
          <w:lang w:val="en-US" w:eastAsia="zh-CN"/>
        </w:rPr>
        <w:t>七、促进知识产权高质量发展</w:t>
      </w:r>
    </w:p>
    <w:p w14:paraId="258FF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（二十四）支持知识产权创造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19212F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对新通过专利合作条约（PCT）途径获得国外发明专利的单位，PCT专利进入高价值发明专利名单的，给予每件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不超过1万元的奖励，同一件专利不重复享受。对维持年限超过十二年且有效的发明专利给予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不超过0.4万元的奖励。</w:t>
      </w:r>
    </w:p>
    <w:p w14:paraId="11D19E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围绕十大新兴产业和重点产业建设一批高价值专利培育工程项目，项目建设期满验收合格的，给予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不超过3万元的奖励。</w:t>
      </w:r>
    </w:p>
    <w:p w14:paraId="6A6DDC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对新获批认定国家驰名商标、地理标志保护产品、地理标志商标、省商标品牌示范企业的，分别给予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不超过20万元、15万元、5万元、2万元的奖励。</w:t>
      </w:r>
    </w:p>
    <w:p w14:paraId="771C59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4.对年度授权有效发明专利20件及以上、50件及以上的专利代理机构或分支机构，分别给予最高不超过3万元、7万元的奖励。</w:t>
      </w:r>
    </w:p>
    <w:p w14:paraId="364017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（二十五）支持知识产权保护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114278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专利授权后，提起专利侵权诉讼、仲裁、裁决，或应诉对方提起的侵权诉讼、仲裁、裁决，最终胜诉的，每件资助维权费用的50%，资助额度国内最高不超过3万元、涉外维权最高不超过5万元。</w:t>
      </w:r>
    </w:p>
    <w:p w14:paraId="4F0D69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（二十六）支持知识产权运用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55F254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对新认定的国家知识产权示范、优势企业，分别给予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不超过10万元、5万元的奖励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；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对新通过国家知识产权管理规范认证的单位，给予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不超过2万元的奖励。</w:t>
      </w:r>
    </w:p>
    <w:p w14:paraId="03455D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对新获得国家专利金奖、银奖的单位，分别给予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不超过20万元、15万元的奖励；对新获得省专利金奖、银奖的单位，分别给予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不超过10万元、5万元的奖励。</w:t>
      </w:r>
    </w:p>
    <w:p w14:paraId="58406E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对企业开展商标权、专利权质押融资业务所产生的利息、担保费用、评估费用按照质押登记金额的1%给予补贴，单个企业补助资金最高不超过10万元，总补助金额不超过180万元。</w:t>
      </w:r>
    </w:p>
    <w:p w14:paraId="7E8708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对新获得国家知识产权强国建设示范县、园区和试点县、园区称号的，分别给予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不超过20万元、10万元的奖励；对新获得省知识产权示范园区称号的，给予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不超过5万元的奖励。对新认定的国家、省地理标志保护示范区，分别给予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不超过10万元、5万元的奖励。对承担国家、省地理标志工程项目建设的单位分别给予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不超过10万元、5万元的奖励。</w:t>
      </w:r>
    </w:p>
    <w:p w14:paraId="70BFB3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八、促进质量强市建设</w:t>
      </w:r>
    </w:p>
    <w:p w14:paraId="4677CA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</w:pPr>
      <w:r>
        <w:rPr>
          <w:rFonts w:hint="default" w:ascii="方正楷体_GBK" w:hAnsi="方正楷体_GBK" w:eastAsia="方正楷体_GBK" w:cs="方正楷体_GBK"/>
          <w:sz w:val="32"/>
          <w:szCs w:val="32"/>
          <w:lang w:val="en-US" w:eastAsia="zh-CN"/>
        </w:rPr>
        <w:t>（二十七）开展第五届亳州市政府质量奖评选</w:t>
      </w: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。</w:t>
      </w:r>
    </w:p>
    <w:p w14:paraId="35EA58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设置市政府质量奖正奖5个，每个奖励20万元。设置市政府质量奖提名奖5个，每个奖励5万元。</w:t>
      </w:r>
    </w:p>
    <w:p w14:paraId="3DCC64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黑体_GBK" w:hAnsi="方正黑体_GBK" w:eastAsia="方正黑体_GBK" w:cs="方正黑体_GBK"/>
          <w:sz w:val="32"/>
          <w:szCs w:val="32"/>
          <w:lang w:val="en-US" w:eastAsia="zh-CN"/>
        </w:rPr>
        <w:t>九、附则</w:t>
      </w:r>
    </w:p>
    <w:p w14:paraId="43636B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（二十八）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文件自印发之日起实施，有效期暂定1年。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实施后，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《亳州市人民政府关于印发亳州市支持实体经济高质量发展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30条措施的通知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》（亳政〔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2024〕1号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）同时废止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。</w:t>
      </w:r>
    </w:p>
    <w:p w14:paraId="5DA5EB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（二十九）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所需资金实行预算管理，由相关主管部门按照总额控制原则，分别制定具体实施细则和兑现流程。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同一企业同类项目不重复享受，就高不就低。</w:t>
      </w:r>
    </w:p>
    <w:p w14:paraId="786802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</w:pPr>
      <w:r>
        <w:rPr>
          <w:rFonts w:hint="eastAsia" w:ascii="方正楷体_GBK" w:hAnsi="方正楷体_GBK" w:eastAsia="方正楷体_GBK" w:cs="方正楷体_GBK"/>
          <w:sz w:val="32"/>
          <w:szCs w:val="32"/>
          <w:lang w:val="en-US" w:eastAsia="zh-CN"/>
        </w:rPr>
        <w:t>（三十）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按照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谁审批谁负责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原则，具体条款由市政府相关部门负责解释和政策执行跟踪问效。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对弄虚作假、骗取奖补资金的，予以追回已拨付资金，并纳入亳州市信用信息公示平台黑名单；情节严重的，依法依规追究相关单位和人员责任。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为提高企业发展积极性，除涉及食品药品安全、环保、产品质量等重大问题外，拟奖补企业年度内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受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到轻微行政处罚、半年内修复信用的，予以奖补。</w:t>
      </w:r>
    </w:p>
    <w:sectPr>
      <w:pgSz w:w="11906" w:h="16838"/>
      <w:pgMar w:top="1962" w:right="1474" w:bottom="1848" w:left="1587" w:header="851" w:footer="992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简体">
    <w:altName w:val="方正仿宋_GBK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827153">
    <w:pPr>
      <w:pStyle w:val="8"/>
      <w:ind w:left="4788" w:leftChars="2280" w:firstLine="6400" w:firstLineChars="2000"/>
      <w:rPr>
        <w:rFonts w:hint="eastAsia" w:eastAsia="仿宋"/>
        <w:sz w:val="32"/>
        <w:szCs w:val="48"/>
        <w:lang w:val="en-US" w:eastAsia="zh-CN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BBA29FD">
                          <w:pPr>
                            <w:pStyle w:val="6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R89qo3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AUfPaq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BBA29FD">
                    <w:pPr>
                      <w:pStyle w:val="6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 w:eastAsia="仿宋"/>
        <w:sz w:val="32"/>
        <w:szCs w:val="48"/>
        <w:lang w:val="en-US" w:eastAsia="zh-CN"/>
      </w:rPr>
      <w:t xml:space="preserve">  </w:t>
    </w:r>
  </w:p>
  <w:p w14:paraId="55DC4866">
    <w:pPr>
      <w:pStyle w:val="8"/>
      <w:wordWrap w:val="0"/>
      <w:ind w:left="4788" w:leftChars="2280" w:firstLine="6400" w:firstLineChars="2000"/>
      <w:jc w:val="right"/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</w:pPr>
    <w:r>
      <w:rPr>
        <w:color w:val="FAFAFA"/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74295</wp:posOffset>
              </wp:positionV>
              <wp:extent cx="5616575" cy="1905"/>
              <wp:effectExtent l="0" t="10795" r="3175" b="15875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16575" cy="1905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rgbClr val="005192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0pt;margin-top:5.85pt;height:0.15pt;width:442.25pt;z-index:251660288;mso-width-relative:page;mso-height-relative:page;" filled="f" stroked="t" coordsize="21600,21600" o:gfxdata="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Dz&#10;p6XR1AAAAAYBAAAPAAAAAAAAAAEAIAAAACIAAABkcnMvZG93bnJldi54bWxQSwECFAAUAAAACACH&#10;TuJAB6gkL+8BAADDAwAADgAAAAAAAAABACAAAAAjAQAAZHJzL2Uyb0RvYy54bWxQSwUGAAAAAAYA&#10;BgBZAQAAhAUAAAAA&#10;">
              <v:fill on="f" focussize="0,0"/>
              <v:stroke weight="1.75pt" color="#005192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eastAsia="仿宋"/>
        <w:color w:val="FAFAFA"/>
        <w:sz w:val="32"/>
        <w:szCs w:val="48"/>
        <w:lang w:val="en-US" w:eastAsia="zh-CN"/>
      </w:rPr>
      <w:t>X</w:t>
    </w:r>
    <w:r>
      <w:rPr>
        <w:rFonts w:hint="eastAsia" w:ascii="宋体" w:hAnsi="宋体" w:eastAsia="宋体" w:cs="宋体"/>
        <w:b/>
        <w:bCs/>
        <w:color w:val="005192"/>
        <w:sz w:val="28"/>
        <w:szCs w:val="28"/>
        <w:lang w:val="en-US" w:eastAsia="zh-CN"/>
      </w:rPr>
      <w:t>亳州市人民政府发布</w:t>
    </w:r>
    <w:r>
      <w:rPr>
        <w:rFonts w:hint="eastAsia" w:ascii="宋体" w:hAnsi="宋体" w:eastAsia="宋体" w:cs="宋体"/>
        <w:b/>
        <w:bCs/>
        <w:color w:val="005192"/>
        <w:sz w:val="32"/>
        <w:szCs w:val="32"/>
        <w:lang w:val="en-US" w:eastAsia="zh-CN"/>
      </w:rPr>
      <w:t xml:space="preserve"> </w:t>
    </w:r>
    <w:r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  <w:t xml:space="preserve">   </w:t>
    </w:r>
  </w:p>
  <w:p w14:paraId="7A2E298B">
    <w:pPr>
      <w:pStyle w:val="8"/>
      <w:wordWrap w:val="0"/>
      <w:ind w:left="4788" w:leftChars="2280" w:firstLine="5622" w:firstLineChars="2000"/>
      <w:jc w:val="right"/>
      <w:rPr>
        <w:rFonts w:hint="eastAsia" w:ascii="宋体" w:hAnsi="宋体" w:eastAsia="宋体" w:cs="宋体"/>
        <w:b/>
        <w:bCs/>
        <w:color w:val="005192"/>
        <w:sz w:val="28"/>
        <w:szCs w:val="44"/>
        <w:lang w:val="en-US" w:eastAsia="zh-C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92672C">
    <w:pPr>
      <w:pStyle w:val="8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textAlignment w:val="center"/>
      <w:rPr>
        <w:rFonts w:hint="eastAsia" w:ascii="宋体" w:hAnsi="宋体" w:eastAsia="宋体" w:cs="宋体"/>
        <w:b/>
        <w:bCs/>
        <w:color w:val="005192"/>
        <w:sz w:val="32"/>
      </w:rPr>
    </w:pPr>
    <w:r>
      <w:rPr>
        <w:rFonts w:hint="eastAsia" w:ascii="宋体" w:hAnsi="宋体" w:eastAsia="宋体" w:cs="宋体"/>
        <w:b/>
        <w:bCs/>
        <w:color w:val="005192"/>
        <w:sz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690245</wp:posOffset>
              </wp:positionV>
              <wp:extent cx="5620385" cy="0"/>
              <wp:effectExtent l="0" t="10795" r="18415" b="17780"/>
              <wp:wrapNone/>
              <wp:docPr id="4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133850" y="864870"/>
                        <a:ext cx="5620385" cy="0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rgbClr val="005192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-0.3pt;margin-top:54.35pt;height:0pt;width:442.55pt;z-index:251659264;mso-width-relative:page;mso-height-relative:page;" filled="f" stroked="t" coordsize="21600,21600" o:gfxdata="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UR0DW1QAAAAkBAAAPAAAAAAAAAAEAIAAAACIAAABkcnMvZG93bnJldi54bWxQSwEC&#10;FAAUAAAACACHTuJApSLLs/cBAADLAwAADgAAAAAAAAABACAAAAAkAQAAZHJzL2Uyb0RvYy54bWxQ&#10;SwUGAAAAAAYABgBZAQAAjQUAAAAA&#10;">
              <v:fill on="f" focussize="0,0"/>
              <v:stroke weight="1.75pt" color="#005192" miterlimit="8" joinstyle="miter"/>
              <v:imagedata o:title=""/>
              <o:lock v:ext="edit" aspectratio="f"/>
            </v:line>
          </w:pict>
        </mc:Fallback>
      </mc:AlternateContent>
    </w:r>
  </w:p>
  <w:p w14:paraId="5DB9503B">
    <w:pPr>
      <w:pStyle w:val="8"/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napToGrid w:val="0"/>
      <w:textAlignment w:val="center"/>
      <w:rPr>
        <w:rFonts w:hint="eastAsia" w:ascii="宋体" w:hAnsi="宋体" w:eastAsia="宋体" w:cs="宋体"/>
        <w:b/>
        <w:bCs/>
        <w:color w:val="005192"/>
        <w:sz w:val="32"/>
        <w:szCs w:val="32"/>
        <w:lang w:val="en-US" w:eastAsia="zh-CN"/>
      </w:rPr>
    </w:pPr>
    <w:r>
      <w:rPr>
        <w:rFonts w:hint="eastAsia" w:ascii="宋体" w:hAnsi="宋体" w:eastAsia="宋体" w:cs="宋体"/>
        <w:b/>
        <w:bCs/>
        <w:color w:val="005192"/>
        <w:sz w:val="32"/>
      </w:rPr>
      <w:drawing>
        <wp:inline distT="0" distB="0" distL="114300" distR="114300">
          <wp:extent cx="308610" cy="308610"/>
          <wp:effectExtent l="0" t="0" r="15240" b="15240"/>
          <wp:docPr id="1" name="图片 1" descr="国徽1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国徽102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8610" cy="308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宋体" w:hAnsi="宋体" w:eastAsia="宋体" w:cs="宋体"/>
        <w:b/>
        <w:bCs/>
        <w:color w:val="005192"/>
        <w:sz w:val="32"/>
        <w:lang w:val="en-US" w:eastAsia="zh-CN"/>
      </w:rPr>
      <w:t>亳州市人民政府行政</w:t>
    </w:r>
    <w:r>
      <w:rPr>
        <w:rFonts w:hint="eastAsia" w:ascii="宋体" w:hAnsi="宋体" w:eastAsia="宋体" w:cs="宋体"/>
        <w:b/>
        <w:bCs/>
        <w:color w:val="005192"/>
        <w:sz w:val="32"/>
        <w:szCs w:val="32"/>
        <w:lang w:val="en-US" w:eastAsia="zh-CN"/>
      </w:rPr>
      <w:t>规范性文件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E3ZTk3NzY2NzNhN2VlMTZkMjBhYmIwYzI5OThmMjAifQ=="/>
  </w:docVars>
  <w:rsids>
    <w:rsidRoot w:val="00172A27"/>
    <w:rsid w:val="07CA2AB6"/>
    <w:rsid w:val="378D688D"/>
    <w:rsid w:val="3868100C"/>
    <w:rsid w:val="47F343E9"/>
    <w:rsid w:val="4D0F6EC5"/>
    <w:rsid w:val="5C1647F6"/>
    <w:rsid w:val="5FF626F2"/>
    <w:rsid w:val="6B087627"/>
    <w:rsid w:val="72775C7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5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widowControl w:val="0"/>
      <w:spacing w:after="120" w:line="480" w:lineRule="auto"/>
      <w:ind w:left="420" w:leftChars="200" w:firstLine="880" w:firstLineChars="20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6"/>
    <w:qFormat/>
    <w:uiPriority w:val="0"/>
    <w:pPr>
      <w:spacing w:before="0" w:after="140" w:line="276" w:lineRule="auto"/>
    </w:pPr>
    <w:rPr>
      <w:rFonts w:ascii="等线" w:hAnsi="等线" w:eastAsia="等线" w:cs="Times New Roman"/>
      <w:szCs w:val="22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Body Text Indent"/>
    <w:basedOn w:val="1"/>
    <w:unhideWhenUsed/>
    <w:qFormat/>
    <w:uiPriority w:val="99"/>
    <w:pPr>
      <w:spacing w:line="520" w:lineRule="atLeast"/>
      <w:ind w:left="358" w:leftChars="128" w:firstLine="359" w:firstLineChars="123"/>
      <w:outlineLvl w:val="0"/>
    </w:pPr>
    <w:rPr>
      <w:rFonts w:ascii="Times New Roman" w:eastAsia="仿宋_GB2312"/>
      <w:spacing w:val="-14"/>
      <w:sz w:val="32"/>
    </w:rPr>
  </w:style>
  <w:style w:type="paragraph" w:styleId="8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footnote text"/>
    <w:basedOn w:val="1"/>
    <w:next w:val="10"/>
    <w:qFormat/>
    <w:uiPriority w:val="99"/>
    <w:pPr>
      <w:snapToGrid w:val="0"/>
      <w:jc w:val="left"/>
    </w:pPr>
  </w:style>
  <w:style w:type="paragraph" w:styleId="10">
    <w:name w:val="Body Text First Indent 2"/>
    <w:basedOn w:val="7"/>
    <w:unhideWhenUsed/>
    <w:qFormat/>
    <w:uiPriority w:val="99"/>
    <w:pPr>
      <w:ind w:firstLine="420" w:firstLineChars="200"/>
    </w:pPr>
  </w:style>
  <w:style w:type="paragraph" w:styleId="11">
    <w:name w:val="Normal (Web)"/>
    <w:basedOn w:val="1"/>
    <w:autoRedefine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"/>
    <w:basedOn w:val="5"/>
    <w:qFormat/>
    <w:uiPriority w:val="0"/>
    <w:pPr>
      <w:spacing w:before="120" w:after="240"/>
      <w:ind w:leftChars="100" w:firstLine="420" w:firstLineChars="100"/>
    </w:pPr>
  </w:style>
  <w:style w:type="table" w:styleId="14">
    <w:name w:val="Table Grid"/>
    <w:basedOn w:val="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page number"/>
    <w:basedOn w:val="15"/>
    <w:qFormat/>
    <w:uiPriority w:val="0"/>
  </w:style>
  <w:style w:type="paragraph" w:customStyle="1" w:styleId="17">
    <w:name w:val="仿宋正文"/>
    <w:basedOn w:val="1"/>
    <w:autoRedefine/>
    <w:qFormat/>
    <w:uiPriority w:val="0"/>
    <w:pPr>
      <w:spacing w:line="600" w:lineRule="exact"/>
      <w:ind w:firstLine="420" w:firstLineChars="200"/>
    </w:pPr>
    <w:rPr>
      <w:rFonts w:eastAsia="方正仿宋简体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13</Pages>
  <Words>1917</Words>
  <Characters>1940</Characters>
  <Lines>0</Lines>
  <Paragraphs>0</Paragraphs>
  <TotalTime>3</TotalTime>
  <ScaleCrop>false</ScaleCrop>
  <LinksUpToDate>false</LinksUpToDate>
  <CharactersWithSpaces>1942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齐柏林</cp:lastModifiedBy>
  <dcterms:modified xsi:type="dcterms:W3CDTF">2025-01-07T07:32:36Z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44C402D1BD274312B931B08488C6A760</vt:lpwstr>
  </property>
  <property fmtid="{D5CDD505-2E9C-101B-9397-08002B2CF9AE}" pid="4" name="KSOTemplateDocerSaveRecord">
    <vt:lpwstr>eyJoZGlkIjoiYmE3ZTk3NzY2NzNhN2VlMTZkMjBhYmIwYzI5OThmMjAiLCJ1c2VySWQiOiIxMTAzOTE2Mzk0In0=</vt:lpwstr>
  </property>
</Properties>
</file>