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4D03F9">
      <w:pPr>
        <w:keepNext w:val="0"/>
        <w:keepLines w:val="0"/>
        <w:pageBreakBefore w:val="0"/>
        <w:widowControl w:val="0"/>
        <w:kinsoku/>
        <w:wordWrap/>
        <w:overflowPunct/>
        <w:topLinePunct w:val="0"/>
        <w:autoSpaceDE/>
        <w:autoSpaceDN/>
        <w:bidi w:val="0"/>
        <w:adjustRightInd/>
        <w:snapToGrid/>
        <w:spacing w:afterAutospacing="0" w:line="590" w:lineRule="exact"/>
        <w:ind w:right="0" w:rightChars="0"/>
        <w:jc w:val="both"/>
        <w:textAlignment w:val="auto"/>
        <w:rPr>
          <w:rFonts w:hint="default" w:ascii="Times New Roman" w:hAnsi="Times New Roman" w:eastAsia="方正仿宋_GBK" w:cs="Times New Roman"/>
          <w:sz w:val="32"/>
          <w:szCs w:val="32"/>
        </w:rPr>
      </w:pPr>
    </w:p>
    <w:p w14:paraId="7799B3BE">
      <w:pPr>
        <w:keepNext w:val="0"/>
        <w:keepLines w:val="0"/>
        <w:pageBreakBefore w:val="0"/>
        <w:widowControl w:val="0"/>
        <w:kinsoku/>
        <w:wordWrap/>
        <w:overflowPunct/>
        <w:topLinePunct w:val="0"/>
        <w:autoSpaceDE/>
        <w:autoSpaceDN/>
        <w:bidi w:val="0"/>
        <w:adjustRightInd/>
        <w:snapToGrid/>
        <w:spacing w:line="590" w:lineRule="exact"/>
        <w:ind w:right="0" w:rightChars="0"/>
        <w:jc w:val="both"/>
        <w:textAlignment w:val="auto"/>
        <w:rPr>
          <w:rFonts w:hint="default" w:ascii="Times New Roman" w:hAnsi="Times New Roman" w:eastAsia="方正小标宋简体" w:cs="Times New Roman"/>
          <w:b w:val="0"/>
          <w:bCs w:val="0"/>
          <w:color w:val="000000"/>
          <w:sz w:val="44"/>
          <w:szCs w:val="44"/>
          <w:lang w:val="en-US" w:eastAsia="zh-CN"/>
        </w:rPr>
      </w:pPr>
    </w:p>
    <w:p w14:paraId="13E6A2A6">
      <w:pPr>
        <w:keepNext w:val="0"/>
        <w:keepLines w:val="0"/>
        <w:pageBreakBefore w:val="0"/>
        <w:widowControl w:val="0"/>
        <w:kinsoku/>
        <w:wordWrap/>
        <w:overflowPunct w:val="0"/>
        <w:topLinePunct w:val="0"/>
        <w:autoSpaceDE/>
        <w:autoSpaceDN/>
        <w:bidi w:val="0"/>
        <w:adjustRightInd/>
        <w:snapToGrid/>
        <w:spacing w:line="600" w:lineRule="exact"/>
        <w:ind w:left="0" w:leftChars="0" w:right="0" w:rightChars="0" w:firstLine="0" w:firstLineChars="0"/>
        <w:jc w:val="center"/>
        <w:textAlignment w:val="auto"/>
        <w:rPr>
          <w:rFonts w:hint="eastAsia" w:ascii="方正小标宋_GBK" w:hAnsi="方正小标宋_GBK" w:eastAsia="方正小标宋_GBK" w:cs="方正小标宋_GBK"/>
          <w:spacing w:val="0"/>
          <w:w w:val="100"/>
          <w:sz w:val="44"/>
          <w:szCs w:val="44"/>
        </w:rPr>
      </w:pPr>
      <w:r>
        <w:rPr>
          <w:rFonts w:hint="eastAsia" w:ascii="方正小标宋_GBK" w:hAnsi="方正小标宋_GBK" w:eastAsia="方正小标宋_GBK" w:cs="方正小标宋_GBK"/>
          <w:spacing w:val="0"/>
          <w:w w:val="100"/>
          <w:sz w:val="44"/>
          <w:szCs w:val="44"/>
        </w:rPr>
        <w:t>亳州市人民政府办公室关于印发</w:t>
      </w:r>
    </w:p>
    <w:p w14:paraId="35DBE0DC">
      <w:pPr>
        <w:keepNext w:val="0"/>
        <w:keepLines w:val="0"/>
        <w:pageBreakBefore w:val="0"/>
        <w:widowControl w:val="0"/>
        <w:kinsoku/>
        <w:wordWrap/>
        <w:overflowPunct w:val="0"/>
        <w:topLinePunct w:val="0"/>
        <w:autoSpaceDE/>
        <w:autoSpaceDN/>
        <w:bidi w:val="0"/>
        <w:adjustRightInd/>
        <w:snapToGrid/>
        <w:spacing w:line="600" w:lineRule="exact"/>
        <w:ind w:left="0" w:leftChars="0" w:right="0" w:rightChars="0" w:firstLine="0" w:firstLineChars="0"/>
        <w:jc w:val="center"/>
        <w:textAlignment w:val="auto"/>
        <w:rPr>
          <w:rFonts w:hint="eastAsia" w:ascii="方正小标宋_GBK" w:hAnsi="方正小标宋_GBK" w:eastAsia="方正小标宋_GBK" w:cs="方正小标宋_GBK"/>
          <w:spacing w:val="0"/>
          <w:w w:val="100"/>
          <w:sz w:val="44"/>
          <w:szCs w:val="44"/>
        </w:rPr>
      </w:pPr>
      <w:r>
        <w:rPr>
          <w:rFonts w:hint="eastAsia" w:ascii="方正小标宋_GBK" w:hAnsi="方正小标宋_GBK" w:eastAsia="方正小标宋_GBK" w:cs="方正小标宋_GBK"/>
          <w:spacing w:val="0"/>
          <w:w w:val="100"/>
          <w:sz w:val="44"/>
          <w:szCs w:val="44"/>
        </w:rPr>
        <w:t>《亳州市城市基础设施配套费征收使用管理</w:t>
      </w:r>
    </w:p>
    <w:p w14:paraId="50894456">
      <w:pPr>
        <w:keepNext w:val="0"/>
        <w:keepLines w:val="0"/>
        <w:pageBreakBefore w:val="0"/>
        <w:widowControl w:val="0"/>
        <w:kinsoku/>
        <w:wordWrap/>
        <w:overflowPunct w:val="0"/>
        <w:topLinePunct w:val="0"/>
        <w:autoSpaceDE/>
        <w:autoSpaceDN/>
        <w:bidi w:val="0"/>
        <w:adjustRightInd/>
        <w:snapToGrid/>
        <w:spacing w:line="600" w:lineRule="exact"/>
        <w:ind w:left="0" w:leftChars="0" w:right="0" w:rightChars="0" w:firstLine="0" w:firstLineChars="0"/>
        <w:jc w:val="center"/>
        <w:textAlignment w:val="auto"/>
        <w:rPr>
          <w:rFonts w:hint="eastAsia" w:ascii="方正小标宋简体" w:hAnsi="方正小标宋简体" w:eastAsia="方正小标宋简体" w:cs="方正小标宋简体"/>
          <w:spacing w:val="0"/>
          <w:w w:val="100"/>
          <w:sz w:val="44"/>
          <w:szCs w:val="44"/>
        </w:rPr>
      </w:pPr>
      <w:r>
        <w:rPr>
          <w:rFonts w:hint="eastAsia" w:ascii="方正小标宋_GBK" w:hAnsi="方正小标宋_GBK" w:eastAsia="方正小标宋_GBK" w:cs="方正小标宋_GBK"/>
          <w:spacing w:val="0"/>
          <w:w w:val="100"/>
          <w:sz w:val="44"/>
          <w:szCs w:val="44"/>
        </w:rPr>
        <w:t>实施细则（修订）》的通知</w:t>
      </w:r>
    </w:p>
    <w:p w14:paraId="42BD2456">
      <w:pPr>
        <w:keepNext w:val="0"/>
        <w:keepLines w:val="0"/>
        <w:pageBreakBefore w:val="0"/>
        <w:widowControl w:val="0"/>
        <w:kinsoku/>
        <w:wordWrap/>
        <w:overflowPunct/>
        <w:topLinePunct w:val="0"/>
        <w:autoSpaceDE/>
        <w:autoSpaceDN/>
        <w:bidi w:val="0"/>
        <w:adjustRightInd/>
        <w:snapToGrid/>
        <w:spacing w:before="0" w:beforeLines="0" w:after="0" w:afterLines="0" w:line="600" w:lineRule="exact"/>
        <w:ind w:left="0" w:leftChars="0" w:right="0" w:rightChars="0" w:firstLine="0" w:firstLineChars="0"/>
        <w:jc w:val="center"/>
        <w:textAlignment w:val="auto"/>
        <w:outlineLvl w:val="9"/>
        <w:rPr>
          <w:rFonts w:hint="default" w:ascii="Times New Roman" w:hAnsi="Times New Roman" w:eastAsia="方正仿宋_GBK" w:cs="Times New Roman"/>
          <w:color w:val="000000"/>
          <w:spacing w:val="0"/>
          <w:w w:val="100"/>
          <w:kern w:val="0"/>
          <w:sz w:val="32"/>
          <w:szCs w:val="32"/>
          <w:lang w:val="en-US" w:eastAsia="zh-CN"/>
        </w:rPr>
      </w:pPr>
      <w:r>
        <w:rPr>
          <w:rFonts w:hint="default" w:ascii="Times New Roman" w:hAnsi="Times New Roman" w:eastAsia="方正仿宋_GBK" w:cs="Times New Roman"/>
          <w:b w:val="0"/>
          <w:bCs w:val="0"/>
          <w:i w:val="0"/>
          <w:iCs w:val="0"/>
          <w:color w:val="000000"/>
          <w:spacing w:val="0"/>
          <w:w w:val="100"/>
          <w:kern w:val="0"/>
          <w:sz w:val="32"/>
          <w:szCs w:val="32"/>
          <w:u w:val="none" w:color="auto"/>
        </w:rPr>
        <w:t>亳政办〔20</w:t>
      </w:r>
      <w:r>
        <w:rPr>
          <w:rFonts w:hint="default" w:ascii="Times New Roman" w:hAnsi="Times New Roman" w:eastAsia="方正仿宋_GBK" w:cs="Times New Roman"/>
          <w:b w:val="0"/>
          <w:bCs w:val="0"/>
          <w:i w:val="0"/>
          <w:iCs w:val="0"/>
          <w:color w:val="000000"/>
          <w:spacing w:val="0"/>
          <w:w w:val="100"/>
          <w:kern w:val="0"/>
          <w:sz w:val="32"/>
          <w:szCs w:val="32"/>
          <w:u w:val="none" w:color="auto"/>
          <w:lang w:val="en-US" w:eastAsia="zh-CN"/>
        </w:rPr>
        <w:t>24</w:t>
      </w:r>
      <w:r>
        <w:rPr>
          <w:rFonts w:hint="default" w:ascii="Times New Roman" w:hAnsi="Times New Roman" w:eastAsia="方正仿宋_GBK" w:cs="Times New Roman"/>
          <w:b w:val="0"/>
          <w:bCs w:val="0"/>
          <w:i w:val="0"/>
          <w:iCs w:val="0"/>
          <w:color w:val="000000"/>
          <w:spacing w:val="0"/>
          <w:w w:val="100"/>
          <w:kern w:val="0"/>
          <w:sz w:val="32"/>
          <w:szCs w:val="32"/>
          <w:u w:val="none" w:color="auto"/>
        </w:rPr>
        <w:t>〕</w:t>
      </w:r>
      <w:r>
        <w:rPr>
          <w:rFonts w:hint="eastAsia" w:ascii="Times New Roman" w:hAnsi="Times New Roman" w:eastAsia="方正仿宋_GBK" w:cs="Times New Roman"/>
          <w:b w:val="0"/>
          <w:bCs w:val="0"/>
          <w:i w:val="0"/>
          <w:iCs w:val="0"/>
          <w:color w:val="000000"/>
          <w:spacing w:val="0"/>
          <w:w w:val="100"/>
          <w:kern w:val="0"/>
          <w:sz w:val="32"/>
          <w:szCs w:val="32"/>
          <w:u w:val="none" w:color="auto"/>
          <w:lang w:val="en-US" w:eastAsia="zh-CN"/>
        </w:rPr>
        <w:t>23</w:t>
      </w:r>
      <w:r>
        <w:rPr>
          <w:rFonts w:hint="default" w:ascii="Times New Roman" w:hAnsi="Times New Roman" w:eastAsia="方正仿宋_GBK" w:cs="Times New Roman"/>
          <w:b w:val="0"/>
          <w:bCs w:val="0"/>
          <w:i w:val="0"/>
          <w:iCs w:val="0"/>
          <w:color w:val="000000"/>
          <w:spacing w:val="0"/>
          <w:w w:val="100"/>
          <w:kern w:val="0"/>
          <w:sz w:val="32"/>
          <w:szCs w:val="32"/>
          <w:u w:val="none" w:color="auto"/>
        </w:rPr>
        <w:t>号</w:t>
      </w:r>
    </w:p>
    <w:p w14:paraId="4A4A689B">
      <w:pPr>
        <w:keepNext w:val="0"/>
        <w:keepLines w:val="0"/>
        <w:pageBreakBefore w:val="0"/>
        <w:widowControl w:val="0"/>
        <w:kinsoku/>
        <w:wordWrap/>
        <w:overflowPunct w:val="0"/>
        <w:topLinePunct w:val="0"/>
        <w:autoSpaceDE/>
        <w:autoSpaceDN/>
        <w:bidi w:val="0"/>
        <w:adjustRightInd/>
        <w:snapToGrid/>
        <w:spacing w:line="560" w:lineRule="exact"/>
        <w:textAlignment w:val="auto"/>
        <w:rPr>
          <w:rFonts w:hint="default" w:ascii="Times New Roman" w:hAnsi="Times New Roman" w:eastAsia="方正仿宋_GBK" w:cs="Times New Roman"/>
          <w:spacing w:val="0"/>
          <w:w w:val="100"/>
          <w:sz w:val="32"/>
          <w:szCs w:val="32"/>
        </w:rPr>
      </w:pPr>
    </w:p>
    <w:p w14:paraId="19F3322C">
      <w:pPr>
        <w:keepNext w:val="0"/>
        <w:keepLines w:val="0"/>
        <w:pageBreakBefore w:val="0"/>
        <w:widowControl w:val="0"/>
        <w:kinsoku/>
        <w:wordWrap/>
        <w:overflowPunct w:val="0"/>
        <w:topLinePunct w:val="0"/>
        <w:autoSpaceDE/>
        <w:autoSpaceDN/>
        <w:bidi w:val="0"/>
        <w:adjustRightInd/>
        <w:snapToGrid/>
        <w:spacing w:line="560" w:lineRule="exact"/>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各县、区人民政府，亳州高新区管委会、亳芜现代产业园区管委会，市直有关单位：</w:t>
      </w:r>
    </w:p>
    <w:p w14:paraId="61223FFF">
      <w:pPr>
        <w:keepNext w:val="0"/>
        <w:keepLines w:val="0"/>
        <w:pageBreakBefore w:val="0"/>
        <w:widowControl w:val="0"/>
        <w:kinsoku/>
        <w:wordWrap/>
        <w:overflowPunct w:val="0"/>
        <w:topLinePunct w:val="0"/>
        <w:autoSpaceDE/>
        <w:autoSpaceDN/>
        <w:bidi w:val="0"/>
        <w:adjustRightInd/>
        <w:snapToGrid/>
        <w:spacing w:line="56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《亳州市城市基础设施配套费征收使用管理实施细则（修订）》已经市政府同意，现印发给你们，请结合实际认真贯彻执行。</w:t>
      </w:r>
    </w:p>
    <w:p w14:paraId="47EFFDDB">
      <w:pPr>
        <w:keepNext w:val="0"/>
        <w:keepLines w:val="0"/>
        <w:pageBreakBefore w:val="0"/>
        <w:widowControl w:val="0"/>
        <w:kinsoku/>
        <w:wordWrap/>
        <w:overflowPunct w:val="0"/>
        <w:topLinePunct w:val="0"/>
        <w:autoSpaceDE/>
        <w:autoSpaceDN/>
        <w:bidi w:val="0"/>
        <w:adjustRightInd/>
        <w:snapToGrid/>
        <w:spacing w:line="700" w:lineRule="exact"/>
        <w:ind w:firstLine="640" w:firstLineChars="200"/>
        <w:textAlignment w:val="auto"/>
        <w:rPr>
          <w:rFonts w:hint="default" w:ascii="Times New Roman" w:hAnsi="Times New Roman" w:eastAsia="方正仿宋_GBK" w:cs="Times New Roman"/>
          <w:sz w:val="32"/>
          <w:szCs w:val="32"/>
        </w:rPr>
      </w:pPr>
    </w:p>
    <w:p w14:paraId="57F4FE14">
      <w:pPr>
        <w:keepNext w:val="0"/>
        <w:keepLines w:val="0"/>
        <w:pageBreakBefore w:val="0"/>
        <w:widowControl w:val="0"/>
        <w:kinsoku/>
        <w:wordWrap/>
        <w:overflowPunct w:val="0"/>
        <w:topLinePunct w:val="0"/>
        <w:autoSpaceDE/>
        <w:autoSpaceDN/>
        <w:bidi w:val="0"/>
        <w:adjustRightInd/>
        <w:snapToGrid/>
        <w:spacing w:line="700" w:lineRule="exact"/>
        <w:ind w:right="1050" w:rightChars="500"/>
        <w:jc w:val="right"/>
        <w:textAlignment w:val="auto"/>
        <w:rPr>
          <w:rFonts w:hint="eastAsia" w:ascii="Times New Roman" w:hAnsi="Times New Roman" w:eastAsia="方正仿宋_GBK" w:cs="Times New Roman"/>
          <w:sz w:val="32"/>
          <w:szCs w:val="32"/>
          <w:lang w:val="en-US" w:eastAsia="zh-CN"/>
        </w:rPr>
      </w:pPr>
      <w:bookmarkStart w:id="0" w:name="_GoBack"/>
      <w:r>
        <w:rPr>
          <w:rFonts w:hint="eastAsia" w:ascii="Times New Roman" w:hAnsi="Times New Roman" w:eastAsia="方正仿宋_GBK" w:cs="Times New Roman"/>
          <w:sz w:val="32"/>
          <w:szCs w:val="32"/>
          <w:lang w:val="en-US" w:eastAsia="zh-CN"/>
        </w:rPr>
        <w:t>亳州市人民政府办公室</w:t>
      </w:r>
    </w:p>
    <w:bookmarkEnd w:id="0"/>
    <w:p w14:paraId="31D289C9">
      <w:pPr>
        <w:keepNext w:val="0"/>
        <w:keepLines w:val="0"/>
        <w:pageBreakBefore w:val="0"/>
        <w:widowControl w:val="0"/>
        <w:kinsoku/>
        <w:wordWrap w:val="0"/>
        <w:overflowPunct w:val="0"/>
        <w:topLinePunct w:val="0"/>
        <w:autoSpaceDE/>
        <w:autoSpaceDN/>
        <w:bidi w:val="0"/>
        <w:adjustRightInd/>
        <w:snapToGrid/>
        <w:spacing w:line="600" w:lineRule="exact"/>
        <w:ind w:firstLine="640" w:firstLineChars="200"/>
        <w:jc w:val="right"/>
        <w:textAlignment w:val="auto"/>
        <w:rPr>
          <w:rFonts w:hint="default" w:ascii="Times New Roman" w:hAnsi="Times New Roman" w:eastAsia="方正仿宋_GBK" w:cs="Times New Roman"/>
          <w:sz w:val="32"/>
          <w:szCs w:val="32"/>
          <w:lang w:val="en-US" w:eastAsia="zh-CN"/>
        </w:rPr>
      </w:pPr>
      <w:r>
        <w:rPr>
          <w:rFonts w:hint="default" w:ascii="Times New Roman" w:hAnsi="Times New Roman" w:eastAsia="方正仿宋_GBK" w:cs="Times New Roman"/>
          <w:sz w:val="32"/>
          <w:szCs w:val="32"/>
        </w:rPr>
        <w:t>2024年12月31日</w:t>
      </w:r>
      <w:r>
        <w:rPr>
          <w:rFonts w:hint="eastAsia" w:ascii="Times New Roman" w:hAnsi="Times New Roman" w:eastAsia="方正仿宋_GBK" w:cs="Times New Roman"/>
          <w:sz w:val="32"/>
          <w:szCs w:val="32"/>
          <w:lang w:val="en-US" w:eastAsia="zh-CN"/>
        </w:rPr>
        <w:t xml:space="preserve">        </w:t>
      </w:r>
    </w:p>
    <w:p w14:paraId="68F138A6">
      <w:pPr>
        <w:keepNext w:val="0"/>
        <w:keepLines w:val="0"/>
        <w:pageBreakBefore w:val="0"/>
        <w:widowControl w:val="0"/>
        <w:kinsoku/>
        <w:wordWrap/>
        <w:overflowPunct w:val="0"/>
        <w:topLinePunct w:val="0"/>
        <w:autoSpaceDE/>
        <w:autoSpaceDN/>
        <w:bidi w:val="0"/>
        <w:adjustRightInd/>
        <w:snapToGrid/>
        <w:spacing w:line="700" w:lineRule="exact"/>
        <w:ind w:left="0" w:leftChars="0" w:right="0" w:rightChars="0" w:firstLine="0" w:firstLineChars="0"/>
        <w:jc w:val="center"/>
        <w:textAlignment w:val="auto"/>
        <w:rPr>
          <w:rFonts w:hint="default" w:ascii="方正小标宋简体" w:hAnsi="方正小标宋简体" w:eastAsia="方正小标宋简体" w:cs="方正小标宋简体"/>
          <w:spacing w:val="0"/>
          <w:w w:val="100"/>
          <w:sz w:val="44"/>
          <w:szCs w:val="44"/>
        </w:rPr>
      </w:pPr>
    </w:p>
    <w:p w14:paraId="1659531C">
      <w:pPr>
        <w:keepNext w:val="0"/>
        <w:keepLines w:val="0"/>
        <w:pageBreakBefore w:val="0"/>
        <w:widowControl w:val="0"/>
        <w:kinsoku/>
        <w:wordWrap/>
        <w:overflowPunct w:val="0"/>
        <w:topLinePunct w:val="0"/>
        <w:autoSpaceDE/>
        <w:autoSpaceDN/>
        <w:bidi w:val="0"/>
        <w:adjustRightInd/>
        <w:snapToGrid/>
        <w:spacing w:line="700" w:lineRule="exact"/>
        <w:ind w:left="0" w:leftChars="0" w:right="0" w:rightChars="0" w:firstLine="0" w:firstLineChars="0"/>
        <w:jc w:val="center"/>
        <w:textAlignment w:val="auto"/>
        <w:rPr>
          <w:rFonts w:hint="default" w:ascii="方正小标宋简体" w:hAnsi="方正小标宋简体" w:eastAsia="方正小标宋简体" w:cs="方正小标宋简体"/>
          <w:spacing w:val="0"/>
          <w:w w:val="100"/>
          <w:sz w:val="44"/>
          <w:szCs w:val="44"/>
        </w:rPr>
      </w:pPr>
    </w:p>
    <w:p w14:paraId="03D60A63">
      <w:pPr>
        <w:keepNext w:val="0"/>
        <w:keepLines w:val="0"/>
        <w:pageBreakBefore w:val="0"/>
        <w:widowControl w:val="0"/>
        <w:kinsoku/>
        <w:wordWrap/>
        <w:overflowPunct w:val="0"/>
        <w:topLinePunct w:val="0"/>
        <w:autoSpaceDE/>
        <w:autoSpaceDN/>
        <w:bidi w:val="0"/>
        <w:adjustRightInd/>
        <w:snapToGrid/>
        <w:spacing w:line="700" w:lineRule="exact"/>
        <w:ind w:left="0" w:leftChars="0" w:right="0" w:rightChars="0" w:firstLine="0" w:firstLineChars="0"/>
        <w:jc w:val="center"/>
        <w:textAlignment w:val="auto"/>
        <w:rPr>
          <w:rFonts w:hint="default" w:ascii="方正小标宋简体" w:hAnsi="方正小标宋简体" w:eastAsia="方正小标宋简体" w:cs="方正小标宋简体"/>
          <w:spacing w:val="0"/>
          <w:w w:val="100"/>
          <w:sz w:val="44"/>
          <w:szCs w:val="44"/>
        </w:rPr>
      </w:pPr>
    </w:p>
    <w:p w14:paraId="4E4756FF">
      <w:pPr>
        <w:keepNext w:val="0"/>
        <w:keepLines w:val="0"/>
        <w:pageBreakBefore w:val="0"/>
        <w:widowControl w:val="0"/>
        <w:kinsoku/>
        <w:wordWrap/>
        <w:overflowPunct w:val="0"/>
        <w:topLinePunct w:val="0"/>
        <w:autoSpaceDE/>
        <w:autoSpaceDN/>
        <w:bidi w:val="0"/>
        <w:adjustRightInd/>
        <w:snapToGrid/>
        <w:spacing w:line="700" w:lineRule="exact"/>
        <w:ind w:left="0" w:leftChars="0" w:right="0" w:rightChars="0" w:firstLine="0" w:firstLineChars="0"/>
        <w:jc w:val="center"/>
        <w:textAlignment w:val="auto"/>
        <w:rPr>
          <w:rFonts w:hint="default" w:ascii="方正小标宋简体" w:hAnsi="方正小标宋简体" w:eastAsia="方正小标宋简体" w:cs="方正小标宋简体"/>
          <w:spacing w:val="0"/>
          <w:w w:val="100"/>
          <w:sz w:val="44"/>
          <w:szCs w:val="44"/>
        </w:rPr>
      </w:pPr>
    </w:p>
    <w:p w14:paraId="521A29C5">
      <w:pPr>
        <w:keepNext w:val="0"/>
        <w:keepLines w:val="0"/>
        <w:pageBreakBefore w:val="0"/>
        <w:widowControl w:val="0"/>
        <w:kinsoku/>
        <w:wordWrap/>
        <w:overflowPunct w:val="0"/>
        <w:topLinePunct w:val="0"/>
        <w:autoSpaceDE/>
        <w:autoSpaceDN/>
        <w:bidi w:val="0"/>
        <w:adjustRightInd/>
        <w:snapToGrid/>
        <w:spacing w:line="700" w:lineRule="exact"/>
        <w:ind w:left="0" w:leftChars="0" w:right="0" w:rightChars="0" w:firstLine="0" w:firstLineChars="0"/>
        <w:jc w:val="both"/>
        <w:textAlignment w:val="auto"/>
        <w:rPr>
          <w:rFonts w:hint="default" w:ascii="方正小标宋简体" w:hAnsi="方正小标宋简体" w:eastAsia="方正小标宋简体" w:cs="方正小标宋简体"/>
          <w:spacing w:val="0"/>
          <w:w w:val="100"/>
          <w:sz w:val="44"/>
          <w:szCs w:val="44"/>
        </w:rPr>
      </w:pPr>
    </w:p>
    <w:p w14:paraId="0C79D04F">
      <w:pPr>
        <w:keepNext w:val="0"/>
        <w:keepLines w:val="0"/>
        <w:pageBreakBefore w:val="0"/>
        <w:widowControl w:val="0"/>
        <w:kinsoku/>
        <w:wordWrap/>
        <w:overflowPunct w:val="0"/>
        <w:topLinePunct w:val="0"/>
        <w:autoSpaceDE/>
        <w:autoSpaceDN/>
        <w:bidi w:val="0"/>
        <w:adjustRightInd/>
        <w:snapToGrid/>
        <w:spacing w:line="600" w:lineRule="exact"/>
        <w:ind w:left="0" w:leftChars="0" w:right="0" w:rightChars="0" w:firstLine="0" w:firstLineChars="0"/>
        <w:jc w:val="center"/>
        <w:textAlignment w:val="auto"/>
        <w:rPr>
          <w:rFonts w:hint="default" w:ascii="方正小标宋_GBK" w:hAnsi="方正小标宋_GBK" w:eastAsia="方正小标宋_GBK" w:cs="方正小标宋_GBK"/>
          <w:spacing w:val="0"/>
          <w:w w:val="100"/>
          <w:sz w:val="44"/>
          <w:szCs w:val="44"/>
        </w:rPr>
      </w:pPr>
      <w:r>
        <w:rPr>
          <w:rFonts w:hint="default" w:ascii="方正小标宋_GBK" w:hAnsi="方正小标宋_GBK" w:eastAsia="方正小标宋_GBK" w:cs="方正小标宋_GBK"/>
          <w:spacing w:val="0"/>
          <w:w w:val="100"/>
          <w:sz w:val="44"/>
          <w:szCs w:val="44"/>
        </w:rPr>
        <w:t>亳州市城市基础设施配套费征收使用管理</w:t>
      </w:r>
    </w:p>
    <w:p w14:paraId="2B12F08B">
      <w:pPr>
        <w:keepNext w:val="0"/>
        <w:keepLines w:val="0"/>
        <w:pageBreakBefore w:val="0"/>
        <w:widowControl w:val="0"/>
        <w:kinsoku/>
        <w:wordWrap/>
        <w:overflowPunct w:val="0"/>
        <w:topLinePunct w:val="0"/>
        <w:autoSpaceDE/>
        <w:autoSpaceDN/>
        <w:bidi w:val="0"/>
        <w:adjustRightInd/>
        <w:snapToGrid/>
        <w:spacing w:line="600" w:lineRule="exact"/>
        <w:ind w:left="0" w:leftChars="0" w:right="0" w:rightChars="0" w:firstLine="0" w:firstLineChars="0"/>
        <w:jc w:val="center"/>
        <w:textAlignment w:val="auto"/>
        <w:rPr>
          <w:rFonts w:hint="default" w:ascii="方正小标宋_GBK" w:hAnsi="方正小标宋_GBK" w:eastAsia="方正小标宋_GBK" w:cs="方正小标宋_GBK"/>
          <w:spacing w:val="0"/>
          <w:w w:val="100"/>
          <w:sz w:val="44"/>
          <w:szCs w:val="44"/>
        </w:rPr>
      </w:pPr>
      <w:r>
        <w:rPr>
          <w:rFonts w:hint="default" w:ascii="方正小标宋_GBK" w:hAnsi="方正小标宋_GBK" w:eastAsia="方正小标宋_GBK" w:cs="方正小标宋_GBK"/>
          <w:spacing w:val="0"/>
          <w:w w:val="100"/>
          <w:sz w:val="44"/>
          <w:szCs w:val="44"/>
        </w:rPr>
        <w:t>实施细则（修订）</w:t>
      </w:r>
    </w:p>
    <w:p w14:paraId="50508FB8">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p>
    <w:p w14:paraId="530DB178">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eastAsia" w:ascii="方正黑体_GBK" w:hAnsi="方正黑体_GBK" w:eastAsia="方正黑体_GBK" w:cs="方正黑体_GBK"/>
          <w:sz w:val="32"/>
          <w:szCs w:val="32"/>
        </w:rPr>
        <w:t>第一条</w:t>
      </w:r>
      <w:r>
        <w:rPr>
          <w:rFonts w:hint="default" w:ascii="Times New Roman" w:hAnsi="Times New Roman" w:eastAsia="方正仿宋_GBK" w:cs="Times New Roman"/>
          <w:sz w:val="32"/>
          <w:szCs w:val="32"/>
        </w:rPr>
        <w:t xml:space="preserve"> </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城市基础设施配套费是指按照实施城市总体规划要求，为筹集城市公用基础设施建设资金所收取的费用，属于政府性基金，纳入同级财政预算，实行收支两条线管理。</w:t>
      </w:r>
    </w:p>
    <w:p w14:paraId="33C63BDC">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 xml:space="preserve">第二条 </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凡在亳州市城市规划区内新建、扩建、改建的各类工业、民用和公共房屋建筑工程项目的建设单位或个人，均应按规定缴纳城市基础设施配套费。建设单位或个人申请建设工程规划许可证后，由自然资源和规划部门负责出具《建设工程规划许可证面积审查单》（详见附件），住房城乡建设部门负责依此征收城市基础设施配套费，费用交清后由自然资源和规划部门负责办理建设工程规划许可证。</w:t>
      </w:r>
    </w:p>
    <w:p w14:paraId="72C97B3F">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第三条</w:t>
      </w:r>
      <w:r>
        <w:rPr>
          <w:rFonts w:hint="eastAsia" w:ascii="方正黑体_GBK" w:hAnsi="方正黑体_GBK" w:eastAsia="方正黑体_GBK" w:cs="方正黑体_GBK"/>
          <w:sz w:val="32"/>
          <w:szCs w:val="32"/>
          <w:lang w:val="en-US" w:eastAsia="zh-CN"/>
        </w:rPr>
        <w:t xml:space="preserve"> </w:t>
      </w:r>
      <w:r>
        <w:rPr>
          <w:rFonts w:hint="default" w:ascii="Times New Roman" w:hAnsi="Times New Roman" w:eastAsia="方正仿宋_GBK" w:cs="Times New Roman"/>
          <w:sz w:val="32"/>
          <w:szCs w:val="32"/>
        </w:rPr>
        <w:t xml:space="preserve"> 亳州高新区、亳芜现代产业园区范围内的工业项目城市基础设施配套费由各自相关职能部门负责征收，其余项目由市建设行政主管部门负责征收；各县、区城市基础设施配套费由各自相关职能部门负责征收，开具《安徽省统一公共支付平台电子缴款书》。各级发改、财政、自然资源和规划等部门要按照各自工作职责协助做好城市基础设施配套费的征收使用管理工作。</w:t>
      </w:r>
    </w:p>
    <w:p w14:paraId="38AFF108">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 xml:space="preserve">第四条 </w:t>
      </w:r>
      <w:r>
        <w:rPr>
          <w:rFonts w:hint="eastAsia" w:ascii="方正黑体_GBK" w:hAnsi="方正黑体_GBK" w:eastAsia="方正黑体_GBK" w:cs="方正黑体_GBK"/>
          <w:sz w:val="32"/>
          <w:szCs w:val="32"/>
          <w:lang w:val="en-US" w:eastAsia="zh-CN"/>
        </w:rPr>
        <w:t xml:space="preserve"> </w:t>
      </w:r>
      <w:r>
        <w:rPr>
          <w:rFonts w:hint="default" w:ascii="Times New Roman" w:hAnsi="Times New Roman" w:eastAsia="方正仿宋_GBK" w:cs="Times New Roman"/>
          <w:sz w:val="32"/>
          <w:szCs w:val="32"/>
        </w:rPr>
        <w:t>依据《安徽省物价局 安徽省财政厅 安徽省建设厅关于进一步完善城市基础设施配套费征收使用管理的通知》（皖价费〔2008〕112号），城市基础设施配套费按照建设项目的规划建筑面积计征。市中心城区（含谯城区、亳州高新区、亳芜现代产业园区）城市基础建设配套费具体征收标准为：</w:t>
      </w:r>
    </w:p>
    <w:p w14:paraId="763A2BA4">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（一）住宅每平方米50元，非住宅（不包括工业厂房、仓储用房，下同）每平方米70元；</w:t>
      </w:r>
    </w:p>
    <w:p w14:paraId="4F0FB303">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（二）工业厂房、仓储用房每平方米40元；</w:t>
      </w:r>
    </w:p>
    <w:p w14:paraId="1787697A">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（三）地下室（不含地下商业、储藏间等）按照仓储用房征收，地下商业、储藏间等用房按照非住宅征收；依附于建筑的架空层、避难层及闷顶层，按照建筑主体使用功能标准征收。</w:t>
      </w:r>
    </w:p>
    <w:p w14:paraId="0354FA13">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以上收费标准中均包括环卫设施建设费每平方米5元。</w:t>
      </w:r>
    </w:p>
    <w:p w14:paraId="0E6DFC4C">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未纳入综合开发的零星建设房地产开发项目（5万平方米以下），城市基础设施配套费按标准的150%征收。</w:t>
      </w:r>
    </w:p>
    <w:p w14:paraId="5E3F242A">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第五条</w:t>
      </w:r>
      <w:r>
        <w:rPr>
          <w:rFonts w:hint="default" w:ascii="Times New Roman" w:hAnsi="Times New Roman" w:eastAsia="方正仿宋_GBK" w:cs="Times New Roman"/>
          <w:sz w:val="32"/>
          <w:szCs w:val="32"/>
        </w:rPr>
        <w:t xml:space="preserve"> </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以下用房及建设项目免征或者减征城市基础设施配套费:</w:t>
      </w:r>
    </w:p>
    <w:p w14:paraId="46676B72">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（一）根据国家及省有关文件规定，免征下列项目城市基础设施配套费。</w:t>
      </w:r>
    </w:p>
    <w:p w14:paraId="64B9801B">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1.城镇和农村、公立和民办、教育系统和非教育系统的所有中小学（含幼儿园）校舍建设项目中教学用房；九年义务制教育、幼儿园、高中、职业学校教学用房（主要是指普通教室、专用教室、公共教学用房及其各自的辅助用房）。政策依据：《国务院办公厅转发教育部等部门关于建立中小学校舍安全保障长效机制意见的通知》（国办发〔2013〕103号），《安徽省物价局 安徽省财政厅 安徽省建设厅关于进一步完善城市基础设施配套费征收使用管理的通知》（皖价费〔2008〕112号）。</w:t>
      </w:r>
    </w:p>
    <w:p w14:paraId="49E7DA2F">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2.易地扶贫搬迁项目。政策依据：《财政部 国家发展改革委关于免征易地扶贫搬迁有关政府性基金和行政事业性收费政策的通知》（财税〔2019〕53号）。</w:t>
      </w:r>
    </w:p>
    <w:p w14:paraId="089F2362">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3.用于提供社区养老、托育、家政服务的建设项目。政策依据：《关于养老、托育、家政等社区家庭服务业税费优惠政策的公告》（财政部 税务总局 发展改革委 民政部 商务部 卫生健康委公告2019年第76号）。</w:t>
      </w:r>
    </w:p>
    <w:p w14:paraId="1133AFCA">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4.农民个人依法利用农村集体土地新建、翻建的自用住房。政策依据：《国务院办公厅关于进一步做好减轻农民负担工作的意见》（国办发〔2012〕22号）。</w:t>
      </w:r>
    </w:p>
    <w:p w14:paraId="05E1A835">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5.保障性租赁住房项目、棚户区改造项目；廉租住房和经济适用住房建设、棚户区改造等保障性住房、旧住宅区整治项目。政策依据：《国务院关于加快棚户区改造工作的意见》（国发〔2013〕25号）、《国务院办公厅关于加快发展保障性租赁住房的意见》（国办发〔2021〕22号），《安徽省物价局 安徽省财政厅 安徽省建设厅关于进一步完善城市基础设施配套费征收使用管理的通知》（皖价费〔2008〕112号）、《安徽省保障性住房建设和管理暂行办法（试行）》（安徽省人民政府第248号令）。</w:t>
      </w:r>
    </w:p>
    <w:p w14:paraId="7CD02BD6">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6.邮政设施（邮政营业场所和邮件处理场所）。政策依据：《安徽省邮政条例》（安徽省人民代表大会常务委员会公告第二十八号）。</w:t>
      </w:r>
    </w:p>
    <w:p w14:paraId="2DBBE14B">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Times New Roman" w:hAnsi="Times New Roman" w:eastAsia="方正仿宋_GBK" w:cs="Times New Roman"/>
          <w:sz w:val="32"/>
          <w:szCs w:val="32"/>
        </w:rPr>
        <w:t>7.军事用房（不含营业性用房）、社会福利事业用房、城市市政公用基础设施建设工程、党政机关办公用房。政策依据：《安徽省物价局 安徽省财政厅 安徽省建设厅关于进一步完善城市基础设施配套费征收使用管理的通知》（皖价费〔2008〕112号）。</w:t>
      </w:r>
    </w:p>
    <w:p w14:paraId="66648859">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方正楷体_GBK" w:hAnsi="方正楷体_GBK" w:eastAsia="方正楷体_GBK" w:cs="方正楷体_GBK"/>
          <w:sz w:val="32"/>
          <w:szCs w:val="32"/>
        </w:rPr>
      </w:pPr>
      <w:r>
        <w:rPr>
          <w:rFonts w:hint="default" w:ascii="方正楷体_GBK" w:hAnsi="方正楷体_GBK" w:eastAsia="方正楷体_GBK" w:cs="方正楷体_GBK"/>
          <w:sz w:val="32"/>
          <w:szCs w:val="32"/>
        </w:rPr>
        <w:t>（二）其他符合法律、行政法规和中央、省相关规定的，可按规定免征或减征城市基础设施配套费。</w:t>
      </w:r>
    </w:p>
    <w:p w14:paraId="18440A1E">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 xml:space="preserve">第六条 </w:t>
      </w:r>
      <w:r>
        <w:rPr>
          <w:rFonts w:hint="eastAsia" w:ascii="方正黑体_GBK" w:hAnsi="方正黑体_GBK" w:eastAsia="方正黑体_GBK" w:cs="方正黑体_GBK"/>
          <w:sz w:val="32"/>
          <w:szCs w:val="32"/>
          <w:lang w:val="en-US" w:eastAsia="zh-CN"/>
        </w:rPr>
        <w:t xml:space="preserve"> </w:t>
      </w:r>
      <w:r>
        <w:rPr>
          <w:rFonts w:hint="default" w:ascii="Times New Roman" w:hAnsi="Times New Roman" w:eastAsia="方正仿宋_GBK" w:cs="Times New Roman"/>
          <w:sz w:val="32"/>
          <w:szCs w:val="32"/>
        </w:rPr>
        <w:t>未尽事宜按照《安徽省物价局 安徽省财政厅 安徽省建设厅关于进一步完善城市基础设施配套费征收使用管理的通知》（皖价费〔2008〕112号）执行；国家、省、市有新政策规定的，从其规定。</w:t>
      </w:r>
    </w:p>
    <w:p w14:paraId="67929B38">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第七条</w:t>
      </w:r>
      <w:r>
        <w:rPr>
          <w:rFonts w:hint="default" w:ascii="Times New Roman" w:hAnsi="Times New Roman" w:eastAsia="方正仿宋_GBK" w:cs="Times New Roman"/>
          <w:sz w:val="32"/>
          <w:szCs w:val="32"/>
        </w:rPr>
        <w:t xml:space="preserve"> </w:t>
      </w:r>
      <w:r>
        <w:rPr>
          <w:rFonts w:hint="eastAsia" w:ascii="Times New Roman" w:hAnsi="Times New Roman" w:eastAsia="方正仿宋_GBK" w:cs="Times New Roman"/>
          <w:sz w:val="32"/>
          <w:szCs w:val="32"/>
          <w:lang w:val="en-US" w:eastAsia="zh-CN"/>
        </w:rPr>
        <w:t xml:space="preserve"> </w:t>
      </w:r>
      <w:r>
        <w:rPr>
          <w:rFonts w:hint="default" w:ascii="Times New Roman" w:hAnsi="Times New Roman" w:eastAsia="方正仿宋_GBK" w:cs="Times New Roman"/>
          <w:sz w:val="32"/>
          <w:szCs w:val="32"/>
        </w:rPr>
        <w:t>市直有关部门工作职责：市财政局负责做好城市基础设施配套费的监督管理和相关政策解释；市住房城乡建设局负责做好城市基础设施配套费的征收管理和相关政策解释；市发展改革委、市自然资源和规划局等部门按照各自职责，配合做好城市基础设施配套费征收使用管理等相关工作。</w:t>
      </w:r>
    </w:p>
    <w:p w14:paraId="20029718">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default" w:ascii="Times New Roman" w:hAnsi="Times New Roman" w:eastAsia="方正仿宋_GBK" w:cs="Times New Roman"/>
          <w:sz w:val="32"/>
          <w:szCs w:val="32"/>
        </w:rPr>
      </w:pPr>
      <w:r>
        <w:rPr>
          <w:rFonts w:hint="default" w:ascii="方正黑体_GBK" w:hAnsi="方正黑体_GBK" w:eastAsia="方正黑体_GBK" w:cs="方正黑体_GBK"/>
          <w:sz w:val="32"/>
          <w:szCs w:val="32"/>
        </w:rPr>
        <w:t>第八条</w:t>
      </w:r>
      <w:r>
        <w:rPr>
          <w:rFonts w:hint="eastAsia" w:ascii="方正黑体_GBK" w:hAnsi="方正黑体_GBK" w:eastAsia="方正黑体_GBK" w:cs="方正黑体_GBK"/>
          <w:sz w:val="32"/>
          <w:szCs w:val="32"/>
          <w:lang w:val="en-US" w:eastAsia="zh-CN"/>
        </w:rPr>
        <w:t xml:space="preserve"> </w:t>
      </w:r>
      <w:r>
        <w:rPr>
          <w:rFonts w:hint="default" w:ascii="Times New Roman" w:hAnsi="Times New Roman" w:eastAsia="方正仿宋_GBK" w:cs="Times New Roman"/>
          <w:sz w:val="32"/>
          <w:szCs w:val="32"/>
        </w:rPr>
        <w:t xml:space="preserve"> 谯城区、亳州高新区、亳芜现代产业园区按照此政策执行。涡阳县、蒙城县、利辛县可根据当地实际情况，参照本实施细则制定辖区内城市基础设施配套费相关政策。</w:t>
      </w:r>
    </w:p>
    <w:p w14:paraId="762E7235">
      <w:pPr>
        <w:keepNext w:val="0"/>
        <w:keepLines w:val="0"/>
        <w:pageBreakBefore w:val="0"/>
        <w:widowControl w:val="0"/>
        <w:kinsoku/>
        <w:wordWrap/>
        <w:overflowPunct w:val="0"/>
        <w:topLinePunct w:val="0"/>
        <w:autoSpaceDE/>
        <w:autoSpaceDN/>
        <w:bidi w:val="0"/>
        <w:adjustRightInd/>
        <w:snapToGrid/>
        <w:spacing w:line="590" w:lineRule="exact"/>
        <w:ind w:firstLine="640" w:firstLineChars="200"/>
        <w:textAlignment w:val="auto"/>
        <w:rPr>
          <w:rFonts w:hint="eastAsia" w:ascii="方正黑体_GBK" w:hAnsi="方正黑体_GBK" w:eastAsia="方正黑体_GBK" w:cs="方正黑体_GBK"/>
          <w:sz w:val="32"/>
          <w:szCs w:val="32"/>
        </w:rPr>
      </w:pPr>
      <w:r>
        <w:rPr>
          <w:rFonts w:hint="default" w:ascii="方正黑体_GBK" w:hAnsi="方正黑体_GBK" w:eastAsia="方正黑体_GBK" w:cs="方正黑体_GBK"/>
          <w:sz w:val="32"/>
          <w:szCs w:val="32"/>
        </w:rPr>
        <w:t>第九条</w:t>
      </w:r>
      <w:r>
        <w:rPr>
          <w:rFonts w:hint="eastAsia" w:ascii="方正黑体_GBK" w:hAnsi="方正黑体_GBK" w:eastAsia="方正黑体_GBK" w:cs="方正黑体_GBK"/>
          <w:sz w:val="32"/>
          <w:szCs w:val="32"/>
          <w:lang w:val="en-US" w:eastAsia="zh-CN"/>
        </w:rPr>
        <w:t xml:space="preserve"> </w:t>
      </w:r>
      <w:r>
        <w:rPr>
          <w:rFonts w:hint="default" w:ascii="Times New Roman" w:hAnsi="Times New Roman" w:eastAsia="方正仿宋_GBK" w:cs="Times New Roman"/>
          <w:sz w:val="32"/>
          <w:szCs w:val="32"/>
        </w:rPr>
        <w:t xml:space="preserve"> 本细则自2025年1月1日起实施，有效期5年。《亳州市人民政府办公室关于印发亳州市城市基础设施配套费征收使用管理实施细则的通知》（亳政办〔2007〕23号）同步废止。</w:t>
      </w:r>
    </w:p>
    <w:p w14:paraId="53FD886C">
      <w:pPr>
        <w:keepNext w:val="0"/>
        <w:keepLines w:val="0"/>
        <w:pageBreakBefore w:val="0"/>
        <w:widowControl w:val="0"/>
        <w:kinsoku/>
        <w:wordWrap/>
        <w:overflowPunct w:val="0"/>
        <w:topLinePunct w:val="0"/>
        <w:autoSpaceDE/>
        <w:autoSpaceDN/>
        <w:bidi w:val="0"/>
        <w:adjustRightInd/>
        <w:snapToGrid/>
        <w:spacing w:line="600" w:lineRule="exact"/>
        <w:textAlignment w:val="auto"/>
        <w:rPr>
          <w:rFonts w:hint="eastAsia" w:ascii="方正黑体_GBK" w:hAnsi="方正黑体_GBK" w:eastAsia="方正黑体_GBK" w:cs="方正黑体_GBK"/>
          <w:sz w:val="32"/>
          <w:szCs w:val="32"/>
        </w:rPr>
      </w:pPr>
      <w:r>
        <w:rPr>
          <w:rFonts w:hint="eastAsia" w:ascii="方正黑体_GBK" w:hAnsi="方正黑体_GBK" w:eastAsia="方正黑体_GBK" w:cs="方正黑体_GBK"/>
          <w:sz w:val="32"/>
          <w:szCs w:val="32"/>
        </w:rPr>
        <w:t>附件</w:t>
      </w:r>
    </w:p>
    <w:p w14:paraId="45446643">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textAlignment w:val="auto"/>
        <w:rPr>
          <w:rFonts w:hint="default" w:ascii="Times New Roman" w:hAnsi="Times New Roman" w:eastAsia="方正仿宋_GBK" w:cs="Times New Roman"/>
          <w:sz w:val="32"/>
          <w:szCs w:val="32"/>
        </w:rPr>
      </w:pPr>
    </w:p>
    <w:p w14:paraId="5FF4E2C6">
      <w:pPr>
        <w:keepNext w:val="0"/>
        <w:keepLines w:val="0"/>
        <w:pageBreakBefore w:val="0"/>
        <w:widowControl w:val="0"/>
        <w:kinsoku/>
        <w:wordWrap/>
        <w:overflowPunct w:val="0"/>
        <w:topLinePunct w:val="0"/>
        <w:autoSpaceDE/>
        <w:autoSpaceDN/>
        <w:bidi w:val="0"/>
        <w:adjustRightInd/>
        <w:snapToGrid/>
        <w:spacing w:line="700" w:lineRule="exact"/>
        <w:ind w:left="0" w:leftChars="0" w:right="0" w:rightChars="0" w:firstLine="0" w:firstLineChars="0"/>
        <w:jc w:val="center"/>
        <w:textAlignment w:val="auto"/>
        <w:rPr>
          <w:rFonts w:hint="eastAsia" w:ascii="Times New Roman" w:hAnsi="Times New Roman" w:eastAsia="方正小标宋简体" w:cs="Times New Roman"/>
          <w:sz w:val="44"/>
          <w:szCs w:val="44"/>
          <w:lang w:eastAsia="zh-CN"/>
        </w:rPr>
      </w:pPr>
      <w:r>
        <w:rPr>
          <w:rFonts w:hint="default" w:ascii="Times New Roman" w:hAnsi="Times New Roman" w:eastAsia="方正小标宋简体" w:cs="Times New Roman"/>
          <w:sz w:val="44"/>
          <w:szCs w:val="44"/>
        </w:rPr>
        <w:t>建设工程规划许可证面积审查单</w:t>
      </w:r>
    </w:p>
    <w:p w14:paraId="12D12392">
      <w:pPr>
        <w:keepNext w:val="0"/>
        <w:keepLines w:val="0"/>
        <w:pageBreakBefore w:val="0"/>
        <w:widowControl w:val="0"/>
        <w:kinsoku/>
        <w:wordWrap/>
        <w:overflowPunct w:val="0"/>
        <w:topLinePunct w:val="0"/>
        <w:autoSpaceDE/>
        <w:autoSpaceDN/>
        <w:bidi w:val="0"/>
        <w:adjustRightInd/>
        <w:snapToGrid/>
        <w:spacing w:line="600" w:lineRule="exact"/>
        <w:ind w:firstLine="640" w:firstLineChars="200"/>
        <w:jc w:val="right"/>
        <w:textAlignment w:val="auto"/>
        <w:rPr>
          <w:rFonts w:hint="eastAsia" w:ascii="方正楷体_GBK" w:hAnsi="方正楷体_GBK" w:eastAsia="方正楷体_GBK" w:cs="方正楷体_GBK"/>
          <w:sz w:val="32"/>
          <w:szCs w:val="32"/>
        </w:rPr>
      </w:pPr>
      <w:r>
        <w:rPr>
          <w:rFonts w:hint="eastAsia" w:ascii="方正楷体_GBK" w:hAnsi="方正楷体_GBK" w:eastAsia="方正楷体_GBK" w:cs="方正楷体_GBK"/>
          <w:sz w:val="32"/>
          <w:szCs w:val="32"/>
        </w:rPr>
        <w:t>编号：     号</w:t>
      </w:r>
    </w:p>
    <w:tbl>
      <w:tblPr>
        <w:tblStyle w:val="13"/>
        <w:tblW w:w="8865" w:type="dxa"/>
        <w:jc w:val="center"/>
        <w:tblLayout w:type="fixed"/>
        <w:tblCellMar>
          <w:top w:w="0" w:type="dxa"/>
          <w:left w:w="0" w:type="dxa"/>
          <w:bottom w:w="0" w:type="dxa"/>
          <w:right w:w="0" w:type="dxa"/>
        </w:tblCellMar>
      </w:tblPr>
      <w:tblGrid>
        <w:gridCol w:w="1636"/>
        <w:gridCol w:w="1893"/>
        <w:gridCol w:w="3059"/>
        <w:gridCol w:w="2277"/>
      </w:tblGrid>
      <w:tr w14:paraId="22838763">
        <w:tblPrEx>
          <w:tblCellMar>
            <w:top w:w="0" w:type="dxa"/>
            <w:left w:w="0" w:type="dxa"/>
            <w:bottom w:w="0" w:type="dxa"/>
            <w:right w:w="0" w:type="dxa"/>
          </w:tblCellMar>
        </w:tblPrEx>
        <w:trPr>
          <w:trHeight w:val="816" w:hRule="atLeast"/>
          <w:jc w:val="center"/>
        </w:trPr>
        <w:tc>
          <w:tcPr>
            <w:tcW w:w="352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23FEB3BE">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黑体_GBK" w:cs="Nimbus Roman No9 L"/>
                <w:i w:val="0"/>
                <w:color w:val="000000"/>
                <w:sz w:val="28"/>
                <w:szCs w:val="28"/>
                <w:u w:val="none"/>
              </w:rPr>
            </w:pPr>
            <w:r>
              <w:rPr>
                <w:rFonts w:hint="default" w:ascii="Nimbus Roman No9 L" w:hAnsi="Nimbus Roman No9 L" w:eastAsia="方正黑体_GBK" w:cs="Nimbus Roman No9 L"/>
                <w:i w:val="0"/>
                <w:color w:val="000000"/>
                <w:kern w:val="0"/>
                <w:sz w:val="28"/>
                <w:szCs w:val="28"/>
                <w:u w:val="none"/>
                <w:lang w:val="en-US" w:eastAsia="zh-CN" w:bidi="ar"/>
              </w:rPr>
              <w:t>建设单位</w:t>
            </w:r>
          </w:p>
        </w:tc>
        <w:tc>
          <w:tcPr>
            <w:tcW w:w="5336"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E64446A">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仿宋_GBK" w:cs="Nimbus Roman No9 L"/>
                <w:i w:val="0"/>
                <w:color w:val="000000"/>
                <w:sz w:val="28"/>
                <w:szCs w:val="28"/>
                <w:u w:val="none"/>
              </w:rPr>
            </w:pPr>
            <w:r>
              <w:rPr>
                <w:rFonts w:hint="eastAsia" w:ascii="Nimbus Roman No9 L" w:hAnsi="Nimbus Roman No9 L" w:eastAsia="方正仿宋_GBK" w:cs="Nimbus Roman No9 L"/>
                <w:i w:val="0"/>
                <w:color w:val="000000"/>
                <w:kern w:val="0"/>
                <w:sz w:val="28"/>
                <w:szCs w:val="28"/>
                <w:u w:val="none"/>
                <w:lang w:val="en-US" w:eastAsia="zh-CN" w:bidi="ar"/>
              </w:rPr>
              <w:t xml:space="preserve">                          </w:t>
            </w:r>
            <w:r>
              <w:rPr>
                <w:rFonts w:hint="default" w:ascii="Nimbus Roman No9 L" w:hAnsi="Nimbus Roman No9 L" w:eastAsia="方正仿宋_GBK" w:cs="Nimbus Roman No9 L"/>
                <w:i w:val="0"/>
                <w:color w:val="000000"/>
                <w:kern w:val="0"/>
                <w:sz w:val="28"/>
                <w:szCs w:val="28"/>
                <w:u w:val="none"/>
                <w:lang w:val="en-US" w:eastAsia="zh-CN" w:bidi="ar"/>
              </w:rPr>
              <w:t>公司</w:t>
            </w:r>
          </w:p>
        </w:tc>
      </w:tr>
      <w:tr w14:paraId="195D45A5">
        <w:tblPrEx>
          <w:tblCellMar>
            <w:top w:w="0" w:type="dxa"/>
            <w:left w:w="0" w:type="dxa"/>
            <w:bottom w:w="0" w:type="dxa"/>
            <w:right w:w="0" w:type="dxa"/>
          </w:tblCellMar>
        </w:tblPrEx>
        <w:trPr>
          <w:trHeight w:val="831" w:hRule="atLeast"/>
          <w:jc w:val="center"/>
        </w:trPr>
        <w:tc>
          <w:tcPr>
            <w:tcW w:w="352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7B0BC9CB">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黑体_GBK" w:cs="Nimbus Roman No9 L"/>
                <w:i w:val="0"/>
                <w:color w:val="000000"/>
                <w:sz w:val="28"/>
                <w:szCs w:val="28"/>
                <w:u w:val="none"/>
              </w:rPr>
            </w:pPr>
            <w:r>
              <w:rPr>
                <w:rFonts w:hint="default" w:ascii="Nimbus Roman No9 L" w:hAnsi="Nimbus Roman No9 L" w:eastAsia="方正黑体_GBK" w:cs="Nimbus Roman No9 L"/>
                <w:i w:val="0"/>
                <w:color w:val="000000"/>
                <w:kern w:val="0"/>
                <w:sz w:val="28"/>
                <w:szCs w:val="28"/>
                <w:u w:val="none"/>
                <w:lang w:val="en-US" w:eastAsia="zh-CN" w:bidi="ar"/>
              </w:rPr>
              <w:t>项目名称</w:t>
            </w:r>
          </w:p>
        </w:tc>
        <w:tc>
          <w:tcPr>
            <w:tcW w:w="5336"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6F0BD1E">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仿宋_GBK" w:cs="Nimbus Roman No9 L"/>
                <w:i w:val="0"/>
                <w:color w:val="000000"/>
                <w:sz w:val="28"/>
                <w:szCs w:val="28"/>
                <w:u w:val="none"/>
              </w:rPr>
            </w:pPr>
            <w:r>
              <w:rPr>
                <w:rFonts w:hint="eastAsia" w:ascii="Nimbus Roman No9 L" w:hAnsi="Nimbus Roman No9 L" w:eastAsia="方正仿宋_GBK" w:cs="Nimbus Roman No9 L"/>
                <w:i w:val="0"/>
                <w:color w:val="000000"/>
                <w:kern w:val="0"/>
                <w:sz w:val="28"/>
                <w:szCs w:val="28"/>
                <w:u w:val="none"/>
                <w:lang w:val="en-US" w:eastAsia="zh-CN" w:bidi="ar"/>
              </w:rPr>
              <w:t xml:space="preserve">                   </w:t>
            </w:r>
            <w:r>
              <w:rPr>
                <w:rFonts w:hint="default" w:ascii="Nimbus Roman No9 L" w:hAnsi="Nimbus Roman No9 L" w:eastAsia="方正仿宋_GBK" w:cs="Nimbus Roman No9 L"/>
                <w:i w:val="0"/>
                <w:color w:val="000000"/>
                <w:kern w:val="0"/>
                <w:sz w:val="28"/>
                <w:szCs w:val="28"/>
                <w:u w:val="none"/>
                <w:lang w:val="en-US" w:eastAsia="zh-CN" w:bidi="ar"/>
              </w:rPr>
              <w:t>项目</w:t>
            </w:r>
            <w:r>
              <w:rPr>
                <w:rFonts w:hint="eastAsia" w:ascii="Nimbus Roman No9 L" w:hAnsi="Nimbus Roman No9 L" w:eastAsia="方正仿宋_GBK" w:cs="Nimbus Roman No9 L"/>
                <w:i w:val="0"/>
                <w:color w:val="000000"/>
                <w:kern w:val="0"/>
                <w:sz w:val="28"/>
                <w:szCs w:val="28"/>
                <w:u w:val="none"/>
                <w:lang w:val="en-US" w:eastAsia="zh-CN" w:bidi="ar"/>
              </w:rPr>
              <w:t xml:space="preserve">         </w:t>
            </w:r>
            <w:r>
              <w:rPr>
                <w:rFonts w:hint="default" w:ascii="Nimbus Roman No9 L" w:hAnsi="Nimbus Roman No9 L" w:eastAsia="方正仿宋_GBK" w:cs="Nimbus Roman No9 L"/>
                <w:i w:val="0"/>
                <w:color w:val="000000"/>
                <w:kern w:val="0"/>
                <w:sz w:val="28"/>
                <w:szCs w:val="28"/>
                <w:u w:val="none"/>
                <w:lang w:val="en-US" w:eastAsia="zh-CN" w:bidi="ar"/>
              </w:rPr>
              <w:t>工程</w:t>
            </w:r>
          </w:p>
        </w:tc>
      </w:tr>
      <w:tr w14:paraId="08E0525D">
        <w:tblPrEx>
          <w:tblCellMar>
            <w:top w:w="0" w:type="dxa"/>
            <w:left w:w="0" w:type="dxa"/>
            <w:bottom w:w="0" w:type="dxa"/>
            <w:right w:w="0" w:type="dxa"/>
          </w:tblCellMar>
        </w:tblPrEx>
        <w:trPr>
          <w:trHeight w:val="976" w:hRule="atLeast"/>
          <w:jc w:val="center"/>
        </w:trPr>
        <w:tc>
          <w:tcPr>
            <w:tcW w:w="352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6AD1B010">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黑体_GBK" w:cs="Nimbus Roman No9 L"/>
                <w:i w:val="0"/>
                <w:color w:val="000000"/>
                <w:sz w:val="28"/>
                <w:szCs w:val="28"/>
                <w:u w:val="none"/>
              </w:rPr>
            </w:pPr>
            <w:r>
              <w:rPr>
                <w:rFonts w:hint="default" w:ascii="Nimbus Roman No9 L" w:hAnsi="Nimbus Roman No9 L" w:eastAsia="方正黑体_GBK" w:cs="Nimbus Roman No9 L"/>
                <w:i w:val="0"/>
                <w:color w:val="000000"/>
                <w:kern w:val="0"/>
                <w:sz w:val="28"/>
                <w:szCs w:val="28"/>
                <w:u w:val="none"/>
                <w:lang w:val="en-US" w:eastAsia="zh-CN" w:bidi="ar"/>
              </w:rPr>
              <w:t>项目位置</w:t>
            </w:r>
          </w:p>
        </w:tc>
        <w:tc>
          <w:tcPr>
            <w:tcW w:w="5336"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9069BD1">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仿宋_GBK" w:cs="Nimbus Roman No9 L"/>
                <w:i w:val="0"/>
                <w:color w:val="000000"/>
                <w:sz w:val="28"/>
                <w:szCs w:val="28"/>
                <w:u w:val="none"/>
              </w:rPr>
            </w:pPr>
            <w:r>
              <w:rPr>
                <w:rFonts w:hint="eastAsia" w:ascii="Nimbus Roman No9 L" w:hAnsi="Nimbus Roman No9 L" w:eastAsia="方正仿宋_GBK" w:cs="Nimbus Roman No9 L"/>
                <w:i w:val="0"/>
                <w:color w:val="000000"/>
                <w:kern w:val="0"/>
                <w:sz w:val="28"/>
                <w:szCs w:val="28"/>
                <w:u w:val="none"/>
                <w:lang w:val="en-US" w:eastAsia="zh-CN" w:bidi="ar"/>
              </w:rPr>
              <w:t xml:space="preserve"> </w:t>
            </w:r>
          </w:p>
        </w:tc>
      </w:tr>
      <w:tr w14:paraId="7EBB0DA7">
        <w:tblPrEx>
          <w:tblCellMar>
            <w:top w:w="0" w:type="dxa"/>
            <w:left w:w="0" w:type="dxa"/>
            <w:bottom w:w="0" w:type="dxa"/>
            <w:right w:w="0" w:type="dxa"/>
          </w:tblCellMar>
        </w:tblPrEx>
        <w:trPr>
          <w:trHeight w:val="771" w:hRule="atLeast"/>
          <w:jc w:val="center"/>
        </w:trPr>
        <w:tc>
          <w:tcPr>
            <w:tcW w:w="352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565D242">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黑体_GBK" w:cs="Nimbus Roman No9 L"/>
                <w:i w:val="0"/>
                <w:color w:val="000000"/>
                <w:sz w:val="28"/>
                <w:szCs w:val="28"/>
                <w:u w:val="none"/>
              </w:rPr>
            </w:pPr>
            <w:r>
              <w:rPr>
                <w:rFonts w:hint="default" w:ascii="Nimbus Roman No9 L" w:hAnsi="Nimbus Roman No9 L" w:eastAsia="方正黑体_GBK" w:cs="Nimbus Roman No9 L"/>
                <w:i w:val="0"/>
                <w:color w:val="000000"/>
                <w:kern w:val="0"/>
                <w:sz w:val="28"/>
                <w:szCs w:val="28"/>
                <w:u w:val="none"/>
                <w:lang w:val="en-US" w:eastAsia="zh-CN" w:bidi="ar"/>
              </w:rPr>
              <w:t>用地性质</w:t>
            </w:r>
          </w:p>
        </w:tc>
        <w:tc>
          <w:tcPr>
            <w:tcW w:w="5336"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5ADE8780">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仿宋_GBK" w:cs="Nimbus Roman No9 L"/>
                <w:i w:val="0"/>
                <w:color w:val="000000"/>
                <w:sz w:val="28"/>
                <w:szCs w:val="28"/>
                <w:u w:val="none"/>
              </w:rPr>
            </w:pPr>
            <w:r>
              <w:rPr>
                <w:rFonts w:hint="eastAsia" w:ascii="Nimbus Roman No9 L" w:hAnsi="Nimbus Roman No9 L" w:eastAsia="方正仿宋_GBK" w:cs="Nimbus Roman No9 L"/>
                <w:i w:val="0"/>
                <w:color w:val="000000"/>
                <w:kern w:val="0"/>
                <w:sz w:val="28"/>
                <w:szCs w:val="28"/>
                <w:u w:val="none"/>
                <w:lang w:val="en-US" w:eastAsia="zh-CN" w:bidi="ar"/>
              </w:rPr>
              <w:t xml:space="preserve">        </w:t>
            </w:r>
            <w:r>
              <w:rPr>
                <w:rFonts w:hint="default" w:ascii="Nimbus Roman No9 L" w:hAnsi="Nimbus Roman No9 L" w:eastAsia="方正仿宋_GBK" w:cs="Nimbus Roman No9 L"/>
                <w:i w:val="0"/>
                <w:color w:val="000000"/>
                <w:kern w:val="0"/>
                <w:sz w:val="28"/>
                <w:szCs w:val="28"/>
                <w:u w:val="none"/>
                <w:lang w:val="en-US" w:eastAsia="zh-CN" w:bidi="ar"/>
              </w:rPr>
              <w:t>用地</w:t>
            </w:r>
          </w:p>
        </w:tc>
      </w:tr>
      <w:tr w14:paraId="24238B9A">
        <w:tblPrEx>
          <w:tblCellMar>
            <w:top w:w="0" w:type="dxa"/>
            <w:left w:w="0" w:type="dxa"/>
            <w:bottom w:w="0" w:type="dxa"/>
            <w:right w:w="0" w:type="dxa"/>
          </w:tblCellMar>
        </w:tblPrEx>
        <w:trPr>
          <w:trHeight w:val="786" w:hRule="atLeast"/>
          <w:jc w:val="center"/>
        </w:trPr>
        <w:tc>
          <w:tcPr>
            <w:tcW w:w="3529"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0123F3B9">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黑体_GBK" w:cs="Nimbus Roman No9 L"/>
                <w:i w:val="0"/>
                <w:color w:val="000000"/>
                <w:sz w:val="28"/>
                <w:szCs w:val="28"/>
                <w:u w:val="none"/>
              </w:rPr>
            </w:pPr>
            <w:r>
              <w:rPr>
                <w:rFonts w:hint="default" w:ascii="Nimbus Roman No9 L" w:hAnsi="Nimbus Roman No9 L" w:eastAsia="方正黑体_GBK" w:cs="Nimbus Roman No9 L"/>
                <w:i w:val="0"/>
                <w:color w:val="000000"/>
                <w:kern w:val="0"/>
                <w:sz w:val="28"/>
                <w:szCs w:val="28"/>
                <w:u w:val="none"/>
                <w:lang w:val="en-US" w:eastAsia="zh-CN" w:bidi="ar"/>
              </w:rPr>
              <w:t>规划设计方案总建筑面积</w:t>
            </w:r>
          </w:p>
        </w:tc>
        <w:tc>
          <w:tcPr>
            <w:tcW w:w="5336" w:type="dxa"/>
            <w:gridSpan w:val="2"/>
            <w:tcBorders>
              <w:top w:val="single" w:color="000000" w:sz="4" w:space="0"/>
              <w:left w:val="single" w:color="000000" w:sz="4" w:space="0"/>
              <w:bottom w:val="single" w:color="000000" w:sz="4" w:space="0"/>
              <w:right w:val="single" w:color="000000" w:sz="4" w:space="0"/>
            </w:tcBorders>
            <w:noWrap/>
            <w:tcMar>
              <w:top w:w="15" w:type="dxa"/>
              <w:left w:w="15" w:type="dxa"/>
              <w:right w:w="15" w:type="dxa"/>
            </w:tcMar>
            <w:vAlign w:val="center"/>
          </w:tcPr>
          <w:p w14:paraId="332F2CA8">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仿宋_GBK" w:cs="Nimbus Roman No9 L"/>
                <w:i w:val="0"/>
                <w:color w:val="000000"/>
                <w:sz w:val="28"/>
                <w:szCs w:val="28"/>
                <w:u w:val="none"/>
              </w:rPr>
            </w:pPr>
            <w:r>
              <w:rPr>
                <w:rFonts w:hint="eastAsia" w:ascii="Nimbus Roman No9 L" w:hAnsi="Nimbus Roman No9 L" w:eastAsia="方正仿宋_GBK" w:cs="Nimbus Roman No9 L"/>
                <w:i w:val="0"/>
                <w:color w:val="000000"/>
                <w:kern w:val="0"/>
                <w:sz w:val="28"/>
                <w:szCs w:val="28"/>
                <w:u w:val="none"/>
                <w:lang w:val="en-US" w:eastAsia="zh-CN" w:bidi="ar"/>
              </w:rPr>
              <w:t xml:space="preserve">         </w:t>
            </w:r>
            <w:r>
              <w:rPr>
                <w:rFonts w:hint="default" w:ascii="Nimbus Roman No9 L" w:hAnsi="Nimbus Roman No9 L" w:eastAsia="方正仿宋_GBK" w:cs="Nimbus Roman No9 L"/>
                <w:i w:val="0"/>
                <w:color w:val="000000"/>
                <w:kern w:val="0"/>
                <w:sz w:val="28"/>
                <w:szCs w:val="28"/>
                <w:u w:val="none"/>
                <w:lang w:val="en-US" w:eastAsia="zh-CN" w:bidi="ar"/>
              </w:rPr>
              <w:t>平方米</w:t>
            </w:r>
          </w:p>
        </w:tc>
      </w:tr>
      <w:tr w14:paraId="4124070B">
        <w:tblPrEx>
          <w:tblCellMar>
            <w:top w:w="0" w:type="dxa"/>
            <w:left w:w="0" w:type="dxa"/>
            <w:bottom w:w="0" w:type="dxa"/>
            <w:right w:w="0" w:type="dxa"/>
          </w:tblCellMar>
        </w:tblPrEx>
        <w:trPr>
          <w:trHeight w:val="810" w:hRule="atLeast"/>
          <w:jc w:val="center"/>
        </w:trPr>
        <w:tc>
          <w:tcPr>
            <w:tcW w:w="1636"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C11DC9A">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仿宋_GBK" w:cs="Nimbus Roman No9 L"/>
                <w:i w:val="0"/>
                <w:color w:val="000000"/>
                <w:sz w:val="28"/>
                <w:szCs w:val="28"/>
                <w:u w:val="none"/>
              </w:rPr>
            </w:pPr>
            <w:r>
              <w:rPr>
                <w:rFonts w:hint="default" w:ascii="Nimbus Roman No9 L" w:hAnsi="Nimbus Roman No9 L" w:eastAsia="方正黑体_GBK" w:cs="Nimbus Roman No9 L"/>
                <w:i w:val="0"/>
                <w:color w:val="000000"/>
                <w:kern w:val="0"/>
                <w:sz w:val="28"/>
                <w:szCs w:val="28"/>
                <w:u w:val="none"/>
                <w:lang w:val="en-US" w:eastAsia="zh-CN" w:bidi="ar"/>
              </w:rPr>
              <w:t>拟批建设工程规划许可证总建筑面积</w:t>
            </w:r>
          </w:p>
        </w:tc>
        <w:tc>
          <w:tcPr>
            <w:tcW w:w="1893" w:type="dxa"/>
            <w:vMerge w:val="restart"/>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3A29B4">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仿宋_GBK" w:cs="Nimbus Roman No9 L"/>
                <w:i w:val="0"/>
                <w:color w:val="000000"/>
                <w:sz w:val="28"/>
                <w:szCs w:val="28"/>
                <w:u w:val="none"/>
              </w:rPr>
            </w:pPr>
            <w:r>
              <w:rPr>
                <w:rFonts w:hint="eastAsia" w:ascii="Nimbus Roman No9 L" w:hAnsi="Nimbus Roman No9 L" w:eastAsia="方正仿宋_GBK" w:cs="Nimbus Roman No9 L"/>
                <w:i w:val="0"/>
                <w:color w:val="000000"/>
                <w:kern w:val="0"/>
                <w:sz w:val="28"/>
                <w:szCs w:val="28"/>
                <w:u w:val="none"/>
                <w:lang w:val="en-US" w:eastAsia="zh-CN" w:bidi="ar"/>
              </w:rPr>
              <w:t xml:space="preserve">     </w:t>
            </w:r>
            <w:r>
              <w:rPr>
                <w:rFonts w:hint="default" w:ascii="Nimbus Roman No9 L" w:hAnsi="Nimbus Roman No9 L" w:eastAsia="方正仿宋_GBK" w:cs="Nimbus Roman No9 L"/>
                <w:i w:val="0"/>
                <w:color w:val="000000"/>
                <w:kern w:val="0"/>
                <w:sz w:val="28"/>
                <w:szCs w:val="28"/>
                <w:u w:val="none"/>
                <w:lang w:val="en-US" w:eastAsia="zh-CN" w:bidi="ar"/>
              </w:rPr>
              <w:t>平方米</w:t>
            </w:r>
          </w:p>
        </w:tc>
        <w:tc>
          <w:tcPr>
            <w:tcW w:w="30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AFDE1C">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仿宋_GBK" w:cs="Nimbus Roman No9 L"/>
                <w:i w:val="0"/>
                <w:color w:val="000000"/>
                <w:sz w:val="28"/>
                <w:szCs w:val="28"/>
                <w:u w:val="none"/>
              </w:rPr>
            </w:pPr>
            <w:r>
              <w:rPr>
                <w:rFonts w:hint="default" w:ascii="Nimbus Roman No9 L" w:hAnsi="Nimbus Roman No9 L" w:eastAsia="方正仿宋_GBK" w:cs="Nimbus Roman No9 L"/>
                <w:i w:val="0"/>
                <w:color w:val="000000"/>
                <w:kern w:val="0"/>
                <w:sz w:val="28"/>
                <w:szCs w:val="28"/>
                <w:u w:val="none"/>
                <w:lang w:val="en-US" w:eastAsia="zh-CN" w:bidi="ar"/>
              </w:rPr>
              <w:t>拟批住宅建筑面积</w:t>
            </w:r>
          </w:p>
        </w:tc>
        <w:tc>
          <w:tcPr>
            <w:tcW w:w="22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28D6DCF">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仿宋_GBK" w:cs="Nimbus Roman No9 L"/>
                <w:i w:val="0"/>
                <w:color w:val="000000"/>
                <w:sz w:val="28"/>
                <w:szCs w:val="28"/>
                <w:u w:val="none"/>
              </w:rPr>
            </w:pPr>
            <w:r>
              <w:rPr>
                <w:rFonts w:hint="eastAsia" w:ascii="Nimbus Roman No9 L" w:hAnsi="Nimbus Roman No9 L" w:eastAsia="方正仿宋_GBK" w:cs="Nimbus Roman No9 L"/>
                <w:i w:val="0"/>
                <w:color w:val="000000"/>
                <w:kern w:val="0"/>
                <w:sz w:val="28"/>
                <w:szCs w:val="28"/>
                <w:u w:val="none"/>
                <w:lang w:val="en-US" w:eastAsia="zh-CN" w:bidi="ar"/>
              </w:rPr>
              <w:t xml:space="preserve">     </w:t>
            </w:r>
            <w:r>
              <w:rPr>
                <w:rFonts w:hint="default" w:ascii="Nimbus Roman No9 L" w:hAnsi="Nimbus Roman No9 L" w:eastAsia="方正仿宋_GBK" w:cs="Nimbus Roman No9 L"/>
                <w:i w:val="0"/>
                <w:color w:val="000000"/>
                <w:kern w:val="0"/>
                <w:sz w:val="28"/>
                <w:szCs w:val="28"/>
                <w:u w:val="none"/>
                <w:lang w:val="en-US" w:eastAsia="zh-CN" w:bidi="ar"/>
              </w:rPr>
              <w:t>平方米</w:t>
            </w:r>
          </w:p>
        </w:tc>
      </w:tr>
      <w:tr w14:paraId="4976D890">
        <w:tblPrEx>
          <w:tblCellMar>
            <w:top w:w="0" w:type="dxa"/>
            <w:left w:w="0" w:type="dxa"/>
            <w:bottom w:w="0" w:type="dxa"/>
            <w:right w:w="0" w:type="dxa"/>
          </w:tblCellMar>
        </w:tblPrEx>
        <w:trPr>
          <w:trHeight w:val="790" w:hRule="atLeast"/>
          <w:jc w:val="center"/>
        </w:trPr>
        <w:tc>
          <w:tcPr>
            <w:tcW w:w="163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1421BFF">
            <w:pPr>
              <w:keepNext w:val="0"/>
              <w:keepLines w:val="0"/>
              <w:pageBreakBefore w:val="0"/>
              <w:kinsoku/>
              <w:wordWrap/>
              <w:overflowPunct/>
              <w:topLinePunct w:val="0"/>
              <w:autoSpaceDE/>
              <w:autoSpaceDN/>
              <w:bidi w:val="0"/>
              <w:adjustRightInd w:val="0"/>
              <w:snapToGrid w:val="0"/>
              <w:spacing w:line="240" w:lineRule="atLeast"/>
              <w:jc w:val="center"/>
              <w:rPr>
                <w:rFonts w:hint="default" w:ascii="Nimbus Roman No9 L" w:hAnsi="Nimbus Roman No9 L" w:eastAsia="方正仿宋_GBK" w:cs="Nimbus Roman No9 L"/>
                <w:i w:val="0"/>
                <w:color w:val="000000"/>
                <w:sz w:val="28"/>
                <w:szCs w:val="28"/>
                <w:u w:val="none"/>
              </w:rPr>
            </w:pPr>
          </w:p>
        </w:tc>
        <w:tc>
          <w:tcPr>
            <w:tcW w:w="189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3134846">
            <w:pPr>
              <w:keepNext w:val="0"/>
              <w:keepLines w:val="0"/>
              <w:pageBreakBefore w:val="0"/>
              <w:widowControl/>
              <w:kinsoku/>
              <w:wordWrap/>
              <w:overflowPunct/>
              <w:topLinePunct w:val="0"/>
              <w:autoSpaceDE/>
              <w:autoSpaceDN/>
              <w:bidi w:val="0"/>
              <w:adjustRightInd w:val="0"/>
              <w:snapToGrid w:val="0"/>
              <w:spacing w:line="240" w:lineRule="atLeast"/>
              <w:jc w:val="center"/>
              <w:rPr>
                <w:rFonts w:hint="default" w:ascii="Nimbus Roman No9 L" w:hAnsi="Nimbus Roman No9 L" w:eastAsia="方正仿宋_GBK" w:cs="Nimbus Roman No9 L"/>
                <w:i w:val="0"/>
                <w:color w:val="000000"/>
                <w:sz w:val="28"/>
                <w:szCs w:val="28"/>
                <w:u w:val="none"/>
              </w:rPr>
            </w:pPr>
          </w:p>
        </w:tc>
        <w:tc>
          <w:tcPr>
            <w:tcW w:w="30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7A9BD46">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仿宋_GBK" w:cs="Nimbus Roman No9 L"/>
                <w:i w:val="0"/>
                <w:color w:val="000000"/>
                <w:sz w:val="28"/>
                <w:szCs w:val="28"/>
                <w:u w:val="none"/>
              </w:rPr>
            </w:pPr>
            <w:r>
              <w:rPr>
                <w:rFonts w:hint="default" w:ascii="Nimbus Roman No9 L" w:hAnsi="Nimbus Roman No9 L" w:eastAsia="方正仿宋_GBK" w:cs="Nimbus Roman No9 L"/>
                <w:i w:val="0"/>
                <w:color w:val="000000"/>
                <w:kern w:val="0"/>
                <w:sz w:val="28"/>
                <w:szCs w:val="28"/>
                <w:u w:val="none"/>
                <w:lang w:val="en-US" w:eastAsia="zh-CN" w:bidi="ar"/>
              </w:rPr>
              <w:t>拟批地上非住宅建筑面积</w:t>
            </w:r>
          </w:p>
        </w:tc>
        <w:tc>
          <w:tcPr>
            <w:tcW w:w="22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C27FEB9">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仿宋_GBK" w:cs="Nimbus Roman No9 L"/>
                <w:i w:val="0"/>
                <w:color w:val="000000"/>
                <w:sz w:val="28"/>
                <w:szCs w:val="28"/>
                <w:u w:val="none"/>
              </w:rPr>
            </w:pPr>
            <w:r>
              <w:rPr>
                <w:rFonts w:hint="eastAsia" w:ascii="Nimbus Roman No9 L" w:hAnsi="Nimbus Roman No9 L" w:eastAsia="方正仿宋_GBK" w:cs="Nimbus Roman No9 L"/>
                <w:i w:val="0"/>
                <w:color w:val="000000"/>
                <w:kern w:val="0"/>
                <w:sz w:val="28"/>
                <w:szCs w:val="28"/>
                <w:u w:val="none"/>
                <w:lang w:val="en-US" w:eastAsia="zh-CN" w:bidi="ar"/>
              </w:rPr>
              <w:t xml:space="preserve">     </w:t>
            </w:r>
            <w:r>
              <w:rPr>
                <w:rFonts w:hint="default" w:ascii="Nimbus Roman No9 L" w:hAnsi="Nimbus Roman No9 L" w:eastAsia="方正仿宋_GBK" w:cs="Nimbus Roman No9 L"/>
                <w:i w:val="0"/>
                <w:color w:val="000000"/>
                <w:kern w:val="0"/>
                <w:sz w:val="28"/>
                <w:szCs w:val="28"/>
                <w:u w:val="none"/>
                <w:lang w:val="en-US" w:eastAsia="zh-CN" w:bidi="ar"/>
              </w:rPr>
              <w:t>平方米</w:t>
            </w:r>
          </w:p>
        </w:tc>
      </w:tr>
      <w:tr w14:paraId="08280D9C">
        <w:tblPrEx>
          <w:tblCellMar>
            <w:top w:w="0" w:type="dxa"/>
            <w:left w:w="0" w:type="dxa"/>
            <w:bottom w:w="0" w:type="dxa"/>
            <w:right w:w="0" w:type="dxa"/>
          </w:tblCellMar>
        </w:tblPrEx>
        <w:trPr>
          <w:trHeight w:val="878" w:hRule="atLeast"/>
          <w:jc w:val="center"/>
        </w:trPr>
        <w:tc>
          <w:tcPr>
            <w:tcW w:w="163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EDA79F7">
            <w:pPr>
              <w:keepNext w:val="0"/>
              <w:keepLines w:val="0"/>
              <w:pageBreakBefore w:val="0"/>
              <w:kinsoku/>
              <w:wordWrap/>
              <w:overflowPunct/>
              <w:topLinePunct w:val="0"/>
              <w:autoSpaceDE/>
              <w:autoSpaceDN/>
              <w:bidi w:val="0"/>
              <w:adjustRightInd w:val="0"/>
              <w:snapToGrid w:val="0"/>
              <w:spacing w:line="240" w:lineRule="atLeast"/>
              <w:jc w:val="center"/>
              <w:rPr>
                <w:rFonts w:hint="default" w:ascii="Nimbus Roman No9 L" w:hAnsi="Nimbus Roman No9 L" w:eastAsia="方正仿宋_GBK" w:cs="Nimbus Roman No9 L"/>
                <w:i w:val="0"/>
                <w:color w:val="000000"/>
                <w:sz w:val="28"/>
                <w:szCs w:val="28"/>
                <w:u w:val="none"/>
              </w:rPr>
            </w:pPr>
          </w:p>
        </w:tc>
        <w:tc>
          <w:tcPr>
            <w:tcW w:w="189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908D589">
            <w:pPr>
              <w:keepNext w:val="0"/>
              <w:keepLines w:val="0"/>
              <w:pageBreakBefore w:val="0"/>
              <w:widowControl/>
              <w:kinsoku/>
              <w:wordWrap/>
              <w:overflowPunct/>
              <w:topLinePunct w:val="0"/>
              <w:autoSpaceDE/>
              <w:autoSpaceDN/>
              <w:bidi w:val="0"/>
              <w:adjustRightInd w:val="0"/>
              <w:snapToGrid w:val="0"/>
              <w:spacing w:line="240" w:lineRule="atLeast"/>
              <w:jc w:val="center"/>
              <w:rPr>
                <w:rFonts w:hint="default" w:ascii="Nimbus Roman No9 L" w:hAnsi="Nimbus Roman No9 L" w:eastAsia="方正仿宋_GBK" w:cs="Nimbus Roman No9 L"/>
                <w:i w:val="0"/>
                <w:color w:val="000000"/>
                <w:sz w:val="28"/>
                <w:szCs w:val="28"/>
                <w:u w:val="none"/>
              </w:rPr>
            </w:pPr>
          </w:p>
        </w:tc>
        <w:tc>
          <w:tcPr>
            <w:tcW w:w="30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84215F5">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仿宋_GBK" w:cs="Nimbus Roman No9 L"/>
                <w:i w:val="0"/>
                <w:color w:val="000000"/>
                <w:sz w:val="28"/>
                <w:szCs w:val="28"/>
                <w:u w:val="none"/>
              </w:rPr>
            </w:pPr>
            <w:r>
              <w:rPr>
                <w:rFonts w:hint="default" w:ascii="Nimbus Roman No9 L" w:hAnsi="Nimbus Roman No9 L" w:eastAsia="方正仿宋_GBK" w:cs="Nimbus Roman No9 L"/>
                <w:i w:val="0"/>
                <w:color w:val="000000"/>
                <w:kern w:val="0"/>
                <w:sz w:val="28"/>
                <w:szCs w:val="28"/>
                <w:u w:val="none"/>
                <w:lang w:val="en-US" w:eastAsia="zh-CN" w:bidi="ar"/>
              </w:rPr>
              <w:t>拟批地下室建筑面积（不含地下商业、储藏间等）</w:t>
            </w:r>
          </w:p>
        </w:tc>
        <w:tc>
          <w:tcPr>
            <w:tcW w:w="22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FEA0C62">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仿宋_GBK" w:cs="Nimbus Roman No9 L"/>
                <w:i w:val="0"/>
                <w:color w:val="000000"/>
                <w:sz w:val="28"/>
                <w:szCs w:val="28"/>
                <w:u w:val="none"/>
              </w:rPr>
            </w:pPr>
            <w:r>
              <w:rPr>
                <w:rFonts w:hint="eastAsia" w:ascii="Nimbus Roman No9 L" w:hAnsi="Nimbus Roman No9 L" w:eastAsia="方正仿宋_GBK" w:cs="Nimbus Roman No9 L"/>
                <w:i w:val="0"/>
                <w:color w:val="000000"/>
                <w:kern w:val="0"/>
                <w:sz w:val="28"/>
                <w:szCs w:val="28"/>
                <w:u w:val="none"/>
                <w:lang w:val="en-US" w:eastAsia="zh-CN" w:bidi="ar"/>
              </w:rPr>
              <w:t xml:space="preserve">     </w:t>
            </w:r>
            <w:r>
              <w:rPr>
                <w:rFonts w:hint="default" w:ascii="Nimbus Roman No9 L" w:hAnsi="Nimbus Roman No9 L" w:eastAsia="方正仿宋_GBK" w:cs="Nimbus Roman No9 L"/>
                <w:i w:val="0"/>
                <w:color w:val="000000"/>
                <w:kern w:val="0"/>
                <w:sz w:val="28"/>
                <w:szCs w:val="28"/>
                <w:u w:val="none"/>
                <w:lang w:val="en-US" w:eastAsia="zh-CN" w:bidi="ar"/>
              </w:rPr>
              <w:t>平方米</w:t>
            </w:r>
          </w:p>
        </w:tc>
      </w:tr>
      <w:tr w14:paraId="16A698F6">
        <w:tblPrEx>
          <w:tblCellMar>
            <w:top w:w="0" w:type="dxa"/>
            <w:left w:w="0" w:type="dxa"/>
            <w:bottom w:w="0" w:type="dxa"/>
            <w:right w:w="0" w:type="dxa"/>
          </w:tblCellMar>
        </w:tblPrEx>
        <w:trPr>
          <w:trHeight w:val="878" w:hRule="atLeast"/>
          <w:jc w:val="center"/>
        </w:trPr>
        <w:tc>
          <w:tcPr>
            <w:tcW w:w="163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31319EF1">
            <w:pPr>
              <w:keepNext w:val="0"/>
              <w:keepLines w:val="0"/>
              <w:pageBreakBefore w:val="0"/>
              <w:kinsoku/>
              <w:wordWrap/>
              <w:overflowPunct/>
              <w:topLinePunct w:val="0"/>
              <w:autoSpaceDE/>
              <w:autoSpaceDN/>
              <w:bidi w:val="0"/>
              <w:adjustRightInd w:val="0"/>
              <w:snapToGrid w:val="0"/>
              <w:spacing w:line="240" w:lineRule="atLeast"/>
              <w:jc w:val="center"/>
              <w:rPr>
                <w:rFonts w:hint="default" w:ascii="Nimbus Roman No9 L" w:hAnsi="Nimbus Roman No9 L" w:eastAsia="方正仿宋_GBK" w:cs="Nimbus Roman No9 L"/>
                <w:i w:val="0"/>
                <w:color w:val="000000"/>
                <w:sz w:val="28"/>
                <w:szCs w:val="28"/>
                <w:u w:val="none"/>
              </w:rPr>
            </w:pPr>
          </w:p>
        </w:tc>
        <w:tc>
          <w:tcPr>
            <w:tcW w:w="189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D9EA5DC">
            <w:pPr>
              <w:keepNext w:val="0"/>
              <w:keepLines w:val="0"/>
              <w:pageBreakBefore w:val="0"/>
              <w:widowControl/>
              <w:kinsoku/>
              <w:wordWrap/>
              <w:overflowPunct/>
              <w:topLinePunct w:val="0"/>
              <w:autoSpaceDE/>
              <w:autoSpaceDN/>
              <w:bidi w:val="0"/>
              <w:adjustRightInd w:val="0"/>
              <w:snapToGrid w:val="0"/>
              <w:spacing w:line="240" w:lineRule="atLeast"/>
              <w:jc w:val="center"/>
              <w:rPr>
                <w:rFonts w:hint="default" w:ascii="Nimbus Roman No9 L" w:hAnsi="Nimbus Roman No9 L" w:eastAsia="方正仿宋_GBK" w:cs="Nimbus Roman No9 L"/>
                <w:i w:val="0"/>
                <w:color w:val="000000"/>
                <w:sz w:val="28"/>
                <w:szCs w:val="28"/>
                <w:u w:val="none"/>
              </w:rPr>
            </w:pPr>
          </w:p>
        </w:tc>
        <w:tc>
          <w:tcPr>
            <w:tcW w:w="30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2F02F724">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仿宋_GBK" w:cs="Nimbus Roman No9 L"/>
                <w:i w:val="0"/>
                <w:color w:val="000000"/>
                <w:sz w:val="28"/>
                <w:szCs w:val="28"/>
                <w:u w:val="none"/>
              </w:rPr>
            </w:pPr>
            <w:r>
              <w:rPr>
                <w:rFonts w:hint="default" w:ascii="Nimbus Roman No9 L" w:hAnsi="Nimbus Roman No9 L" w:eastAsia="方正仿宋_GBK" w:cs="Nimbus Roman No9 L"/>
                <w:i w:val="0"/>
                <w:color w:val="000000"/>
                <w:kern w:val="0"/>
                <w:sz w:val="28"/>
                <w:szCs w:val="28"/>
                <w:u w:val="none"/>
                <w:lang w:val="en-US" w:eastAsia="zh-CN" w:bidi="ar"/>
              </w:rPr>
              <w:t>拟批地下商业、储藏间等用房建筑面积</w:t>
            </w:r>
          </w:p>
        </w:tc>
        <w:tc>
          <w:tcPr>
            <w:tcW w:w="22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7204E02B">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仿宋_GBK" w:cs="Nimbus Roman No9 L"/>
                <w:i w:val="0"/>
                <w:color w:val="000000"/>
                <w:sz w:val="28"/>
                <w:szCs w:val="28"/>
                <w:u w:val="none"/>
              </w:rPr>
            </w:pPr>
            <w:r>
              <w:rPr>
                <w:rFonts w:hint="eastAsia" w:ascii="Nimbus Roman No9 L" w:hAnsi="Nimbus Roman No9 L" w:eastAsia="方正仿宋_GBK" w:cs="Nimbus Roman No9 L"/>
                <w:i w:val="0"/>
                <w:color w:val="000000"/>
                <w:kern w:val="0"/>
                <w:sz w:val="28"/>
                <w:szCs w:val="28"/>
                <w:u w:val="none"/>
                <w:lang w:val="en-US" w:eastAsia="zh-CN" w:bidi="ar"/>
              </w:rPr>
              <w:t xml:space="preserve">     </w:t>
            </w:r>
            <w:r>
              <w:rPr>
                <w:rFonts w:hint="default" w:ascii="Nimbus Roman No9 L" w:hAnsi="Nimbus Roman No9 L" w:eastAsia="方正仿宋_GBK" w:cs="Nimbus Roman No9 L"/>
                <w:i w:val="0"/>
                <w:color w:val="000000"/>
                <w:kern w:val="0"/>
                <w:sz w:val="28"/>
                <w:szCs w:val="28"/>
                <w:u w:val="none"/>
                <w:lang w:val="en-US" w:eastAsia="zh-CN" w:bidi="ar"/>
              </w:rPr>
              <w:t>平方米</w:t>
            </w:r>
          </w:p>
        </w:tc>
      </w:tr>
      <w:tr w14:paraId="68D7C881">
        <w:tblPrEx>
          <w:tblCellMar>
            <w:top w:w="0" w:type="dxa"/>
            <w:left w:w="0" w:type="dxa"/>
            <w:bottom w:w="0" w:type="dxa"/>
            <w:right w:w="0" w:type="dxa"/>
          </w:tblCellMar>
        </w:tblPrEx>
        <w:trPr>
          <w:trHeight w:val="769" w:hRule="atLeast"/>
          <w:jc w:val="center"/>
        </w:trPr>
        <w:tc>
          <w:tcPr>
            <w:tcW w:w="1636"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485F450B">
            <w:pPr>
              <w:keepNext w:val="0"/>
              <w:keepLines w:val="0"/>
              <w:pageBreakBefore w:val="0"/>
              <w:kinsoku/>
              <w:wordWrap/>
              <w:overflowPunct/>
              <w:topLinePunct w:val="0"/>
              <w:autoSpaceDE/>
              <w:autoSpaceDN/>
              <w:bidi w:val="0"/>
              <w:adjustRightInd w:val="0"/>
              <w:snapToGrid w:val="0"/>
              <w:spacing w:line="240" w:lineRule="atLeast"/>
              <w:jc w:val="center"/>
              <w:rPr>
                <w:rFonts w:hint="eastAsia" w:ascii="Nimbus Roman No9 L" w:hAnsi="Nimbus Roman No9 L" w:eastAsia="方正仿宋_GBK" w:cs="Nimbus Roman No9 L"/>
                <w:i w:val="0"/>
                <w:color w:val="000000"/>
                <w:sz w:val="28"/>
                <w:szCs w:val="28"/>
                <w:u w:val="none"/>
                <w:lang w:eastAsia="zh-CN"/>
              </w:rPr>
            </w:pPr>
            <w:r>
              <w:rPr>
                <w:rFonts w:hint="eastAsia" w:ascii="Nimbus Roman No9 L" w:hAnsi="Nimbus Roman No9 L" w:eastAsia="方正仿宋_GBK" w:cs="Nimbus Roman No9 L"/>
                <w:i w:val="0"/>
                <w:color w:val="000000"/>
                <w:sz w:val="28"/>
                <w:szCs w:val="28"/>
                <w:u w:val="none"/>
                <w:lang w:eastAsia="zh-CN"/>
              </w:rPr>
              <w:t xml:space="preserve"> </w:t>
            </w:r>
          </w:p>
        </w:tc>
        <w:tc>
          <w:tcPr>
            <w:tcW w:w="1893" w:type="dxa"/>
            <w:vMerge w:val="continue"/>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199CAC4F">
            <w:pPr>
              <w:keepNext w:val="0"/>
              <w:keepLines w:val="0"/>
              <w:pageBreakBefore w:val="0"/>
              <w:widowControl/>
              <w:kinsoku/>
              <w:wordWrap/>
              <w:overflowPunct/>
              <w:topLinePunct w:val="0"/>
              <w:autoSpaceDE/>
              <w:autoSpaceDN/>
              <w:bidi w:val="0"/>
              <w:adjustRightInd w:val="0"/>
              <w:snapToGrid w:val="0"/>
              <w:spacing w:line="240" w:lineRule="atLeast"/>
              <w:jc w:val="center"/>
              <w:rPr>
                <w:rFonts w:hint="default" w:ascii="Nimbus Roman No9 L" w:hAnsi="Nimbus Roman No9 L" w:eastAsia="方正仿宋_GBK" w:cs="Nimbus Roman No9 L"/>
                <w:i w:val="0"/>
                <w:color w:val="000000"/>
                <w:sz w:val="28"/>
                <w:szCs w:val="28"/>
                <w:u w:val="none"/>
              </w:rPr>
            </w:pPr>
          </w:p>
        </w:tc>
        <w:tc>
          <w:tcPr>
            <w:tcW w:w="3059"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0C2A7233">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仿宋_GBK" w:cs="Nimbus Roman No9 L"/>
                <w:i w:val="0"/>
                <w:color w:val="000000"/>
                <w:sz w:val="28"/>
                <w:szCs w:val="28"/>
                <w:u w:val="none"/>
              </w:rPr>
            </w:pPr>
            <w:r>
              <w:rPr>
                <w:rFonts w:hint="default" w:ascii="Nimbus Roman No9 L" w:hAnsi="Nimbus Roman No9 L" w:eastAsia="方正仿宋_GBK" w:cs="Nimbus Roman No9 L"/>
                <w:i w:val="0"/>
                <w:color w:val="000000"/>
                <w:kern w:val="0"/>
                <w:sz w:val="28"/>
                <w:szCs w:val="28"/>
                <w:u w:val="none"/>
                <w:lang w:val="en-US" w:eastAsia="zh-CN" w:bidi="ar"/>
              </w:rPr>
              <w:t>拟批工业厂房、仓储建筑面积</w:t>
            </w:r>
          </w:p>
        </w:tc>
        <w:tc>
          <w:tcPr>
            <w:tcW w:w="2277"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14:paraId="5AB49A16">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仿宋_GBK" w:cs="Nimbus Roman No9 L"/>
                <w:i w:val="0"/>
                <w:color w:val="000000"/>
                <w:sz w:val="28"/>
                <w:szCs w:val="28"/>
                <w:u w:val="none"/>
              </w:rPr>
            </w:pPr>
            <w:r>
              <w:rPr>
                <w:rFonts w:hint="eastAsia" w:ascii="Nimbus Roman No9 L" w:hAnsi="Nimbus Roman No9 L" w:eastAsia="方正仿宋_GBK" w:cs="Nimbus Roman No9 L"/>
                <w:i w:val="0"/>
                <w:color w:val="000000"/>
                <w:kern w:val="0"/>
                <w:sz w:val="28"/>
                <w:szCs w:val="28"/>
                <w:u w:val="none"/>
                <w:lang w:val="en-US" w:eastAsia="zh-CN" w:bidi="ar"/>
              </w:rPr>
              <w:t xml:space="preserve">     </w:t>
            </w:r>
            <w:r>
              <w:rPr>
                <w:rFonts w:hint="default" w:ascii="Nimbus Roman No9 L" w:hAnsi="Nimbus Roman No9 L" w:eastAsia="方正仿宋_GBK" w:cs="Nimbus Roman No9 L"/>
                <w:i w:val="0"/>
                <w:color w:val="000000"/>
                <w:kern w:val="0"/>
                <w:sz w:val="28"/>
                <w:szCs w:val="28"/>
                <w:u w:val="none"/>
                <w:lang w:val="en-US" w:eastAsia="zh-CN" w:bidi="ar"/>
              </w:rPr>
              <w:t>平方米</w:t>
            </w:r>
          </w:p>
        </w:tc>
      </w:tr>
    </w:tbl>
    <w:p w14:paraId="372A985F">
      <w:pPr>
        <w:keepNext w:val="0"/>
        <w:keepLines w:val="0"/>
        <w:pageBreakBefore w:val="0"/>
        <w:widowControl/>
        <w:suppressLineNumbers w:val="0"/>
        <w:kinsoku/>
        <w:wordWrap/>
        <w:overflowPunct/>
        <w:topLinePunct w:val="0"/>
        <w:autoSpaceDE/>
        <w:autoSpaceDN/>
        <w:bidi w:val="0"/>
        <w:adjustRightInd w:val="0"/>
        <w:snapToGrid w:val="0"/>
        <w:spacing w:line="240" w:lineRule="atLeast"/>
        <w:ind w:firstLine="560" w:firstLineChars="200"/>
        <w:jc w:val="both"/>
        <w:textAlignment w:val="center"/>
        <w:rPr>
          <w:rFonts w:hint="default" w:ascii="Nimbus Roman No9 L" w:hAnsi="Nimbus Roman No9 L" w:eastAsia="方正楷体_GBK" w:cs="Nimbus Roman No9 L"/>
          <w:i w:val="0"/>
          <w:color w:val="000000"/>
          <w:kern w:val="0"/>
          <w:sz w:val="28"/>
          <w:szCs w:val="28"/>
          <w:u w:val="none"/>
          <w:lang w:val="en-US" w:eastAsia="zh-CN" w:bidi="ar"/>
        </w:rPr>
      </w:pPr>
      <w:r>
        <w:rPr>
          <w:rFonts w:hint="default" w:ascii="Nimbus Roman No9 L" w:hAnsi="Nimbus Roman No9 L" w:eastAsia="方正楷体_GBK" w:cs="Nimbus Roman No9 L"/>
          <w:i w:val="0"/>
          <w:color w:val="000000"/>
          <w:kern w:val="0"/>
          <w:sz w:val="28"/>
          <w:szCs w:val="28"/>
          <w:u w:val="none"/>
          <w:lang w:val="en-US" w:eastAsia="zh-CN" w:bidi="ar"/>
        </w:rPr>
        <w:t>备注：城市基础设施配套费计算征收时，</w:t>
      </w:r>
      <w:r>
        <w:rPr>
          <w:rFonts w:hint="eastAsia" w:ascii="Nimbus Roman No9 L" w:hAnsi="Nimbus Roman No9 L" w:eastAsia="方正楷体_GBK" w:cs="Nimbus Roman No9 L"/>
          <w:i w:val="0"/>
          <w:color w:val="000000"/>
          <w:kern w:val="0"/>
          <w:sz w:val="28"/>
          <w:szCs w:val="28"/>
          <w:u w:val="none"/>
          <w:lang w:val="en-US" w:eastAsia="zh-CN" w:bidi="ar"/>
        </w:rPr>
        <w:t>自然资源和规划</w:t>
      </w:r>
      <w:r>
        <w:rPr>
          <w:rFonts w:hint="default" w:ascii="Nimbus Roman No9 L" w:hAnsi="Nimbus Roman No9 L" w:eastAsia="方正楷体_GBK" w:cs="Nimbus Roman No9 L"/>
          <w:i w:val="0"/>
          <w:color w:val="000000"/>
          <w:kern w:val="0"/>
          <w:sz w:val="28"/>
          <w:szCs w:val="28"/>
          <w:u w:val="none"/>
          <w:lang w:val="en-US" w:eastAsia="zh-CN" w:bidi="ar"/>
        </w:rPr>
        <w:t>部门可根据实际免征或者减征需要，向住建部门提供工程建设项目中各个单体建筑的</w:t>
      </w:r>
      <w:r>
        <w:rPr>
          <w:rFonts w:hint="eastAsia" w:ascii="Nimbus Roman No9 L" w:hAnsi="Nimbus Roman No9 L" w:eastAsia="方正楷体_GBK" w:cs="Nimbus Roman No9 L"/>
          <w:i w:val="0"/>
          <w:color w:val="000000"/>
          <w:kern w:val="0"/>
          <w:sz w:val="28"/>
          <w:szCs w:val="28"/>
          <w:u w:val="none"/>
          <w:lang w:val="en-US" w:eastAsia="zh-CN" w:bidi="ar"/>
        </w:rPr>
        <w:t>使用</w:t>
      </w:r>
      <w:r>
        <w:rPr>
          <w:rFonts w:hint="default" w:ascii="Nimbus Roman No9 L" w:hAnsi="Nimbus Roman No9 L" w:eastAsia="方正楷体_GBK" w:cs="Nimbus Roman No9 L"/>
          <w:i w:val="0"/>
          <w:color w:val="000000"/>
          <w:kern w:val="0"/>
          <w:sz w:val="28"/>
          <w:szCs w:val="28"/>
          <w:u w:val="none"/>
          <w:lang w:val="en-US" w:eastAsia="zh-CN" w:bidi="ar"/>
        </w:rPr>
        <w:t>功能及</w:t>
      </w:r>
      <w:r>
        <w:rPr>
          <w:rFonts w:hint="eastAsia" w:ascii="Nimbus Roman No9 L" w:hAnsi="Nimbus Roman No9 L" w:eastAsia="方正楷体_GBK" w:cs="Nimbus Roman No9 L"/>
          <w:i w:val="0"/>
          <w:color w:val="000000"/>
          <w:kern w:val="0"/>
          <w:sz w:val="28"/>
          <w:szCs w:val="28"/>
          <w:u w:val="none"/>
          <w:lang w:val="en-US" w:eastAsia="zh-CN" w:bidi="ar"/>
        </w:rPr>
        <w:t>规划建筑</w:t>
      </w:r>
      <w:r>
        <w:rPr>
          <w:rFonts w:hint="default" w:ascii="Nimbus Roman No9 L" w:hAnsi="Nimbus Roman No9 L" w:eastAsia="方正楷体_GBK" w:cs="Nimbus Roman No9 L"/>
          <w:i w:val="0"/>
          <w:color w:val="000000"/>
          <w:kern w:val="0"/>
          <w:sz w:val="28"/>
          <w:szCs w:val="28"/>
          <w:u w:val="none"/>
          <w:lang w:val="en-US" w:eastAsia="zh-CN" w:bidi="ar"/>
        </w:rPr>
        <w:t>面积。</w:t>
      </w:r>
    </w:p>
    <w:p w14:paraId="18FC2A71">
      <w:pPr>
        <w:keepNext w:val="0"/>
        <w:keepLines w:val="0"/>
        <w:pageBreakBefore w:val="0"/>
        <w:widowControl/>
        <w:suppressLineNumbers w:val="0"/>
        <w:kinsoku/>
        <w:wordWrap/>
        <w:overflowPunct/>
        <w:topLinePunct w:val="0"/>
        <w:autoSpaceDE/>
        <w:autoSpaceDN/>
        <w:bidi w:val="0"/>
        <w:adjustRightInd w:val="0"/>
        <w:snapToGrid w:val="0"/>
        <w:spacing w:line="240" w:lineRule="atLeast"/>
        <w:ind w:firstLine="480" w:firstLineChars="200"/>
        <w:jc w:val="both"/>
        <w:textAlignment w:val="center"/>
        <w:rPr>
          <w:rFonts w:hint="default"/>
          <w:u w:val="none"/>
          <w:lang w:val="en-US" w:eastAsia="zh-CN"/>
        </w:rPr>
      </w:pPr>
      <w:r>
        <w:rPr>
          <w:rFonts w:hint="default" w:ascii="Nimbus Roman No9 L" w:hAnsi="Nimbus Roman No9 L" w:eastAsia="方正仿宋_GBK" w:cs="Nimbus Roman No9 L"/>
          <w:i w:val="0"/>
          <w:color w:val="000000"/>
          <w:kern w:val="0"/>
          <w:sz w:val="24"/>
          <w:szCs w:val="24"/>
          <w:u w:val="none"/>
          <w:lang w:val="en-US" w:eastAsia="zh-CN" w:bidi="ar"/>
        </w:rPr>
        <w:t xml:space="preserve">  </w:t>
      </w:r>
    </w:p>
    <w:p w14:paraId="68C5A0E6">
      <w:pPr>
        <w:keepNext w:val="0"/>
        <w:keepLines w:val="0"/>
        <w:pageBreakBefore w:val="0"/>
        <w:widowControl/>
        <w:suppressLineNumbers w:val="0"/>
        <w:kinsoku/>
        <w:wordWrap/>
        <w:overflowPunct/>
        <w:topLinePunct w:val="0"/>
        <w:autoSpaceDE/>
        <w:autoSpaceDN/>
        <w:bidi w:val="0"/>
        <w:adjustRightInd w:val="0"/>
        <w:snapToGrid w:val="0"/>
        <w:spacing w:line="240" w:lineRule="atLeast"/>
        <w:jc w:val="center"/>
        <w:textAlignment w:val="center"/>
        <w:rPr>
          <w:rFonts w:hint="default" w:ascii="Nimbus Roman No9 L" w:hAnsi="Nimbus Roman No9 L" w:eastAsia="方正仿宋_GBK" w:cs="Nimbus Roman No9 L"/>
          <w:i w:val="0"/>
          <w:color w:val="000000"/>
          <w:kern w:val="0"/>
          <w:sz w:val="28"/>
          <w:szCs w:val="28"/>
          <w:u w:val="none"/>
          <w:lang w:val="en-US" w:eastAsia="zh-CN" w:bidi="ar"/>
        </w:rPr>
      </w:pPr>
      <w:r>
        <w:rPr>
          <w:rFonts w:hint="eastAsia" w:ascii="Nimbus Roman No9 L" w:hAnsi="Nimbus Roman No9 L" w:eastAsia="方正仿宋_GBK" w:cs="Nimbus Roman No9 L"/>
          <w:i w:val="0"/>
          <w:color w:val="000000"/>
          <w:kern w:val="0"/>
          <w:sz w:val="24"/>
          <w:szCs w:val="24"/>
          <w:u w:val="none"/>
          <w:lang w:val="en-US" w:eastAsia="zh-CN" w:bidi="ar"/>
        </w:rPr>
        <w:t xml:space="preserve">                             </w:t>
      </w:r>
      <w:r>
        <w:rPr>
          <w:rFonts w:hint="default" w:ascii="Nimbus Roman No9 L" w:hAnsi="Nimbus Roman No9 L" w:eastAsia="方正仿宋_GBK" w:cs="Nimbus Roman No9 L"/>
          <w:i w:val="0"/>
          <w:color w:val="000000"/>
          <w:kern w:val="0"/>
          <w:sz w:val="28"/>
          <w:szCs w:val="28"/>
          <w:u w:val="none"/>
          <w:lang w:val="en-US" w:eastAsia="zh-CN" w:bidi="ar"/>
        </w:rPr>
        <w:t>（</w:t>
      </w:r>
      <w:r>
        <w:rPr>
          <w:rFonts w:hint="eastAsia" w:ascii="Nimbus Roman No9 L" w:hAnsi="Nimbus Roman No9 L" w:eastAsia="方正仿宋_GBK" w:cs="Nimbus Roman No9 L"/>
          <w:i w:val="0"/>
          <w:color w:val="000000"/>
          <w:kern w:val="0"/>
          <w:sz w:val="28"/>
          <w:szCs w:val="28"/>
          <w:u w:val="none"/>
          <w:lang w:val="en-US" w:eastAsia="zh-CN" w:bidi="ar"/>
        </w:rPr>
        <w:t>自然资源和规划部门</w:t>
      </w:r>
      <w:r>
        <w:rPr>
          <w:rFonts w:hint="default" w:ascii="Nimbus Roman No9 L" w:hAnsi="Nimbus Roman No9 L" w:eastAsia="方正仿宋_GBK" w:cs="Nimbus Roman No9 L"/>
          <w:i w:val="0"/>
          <w:color w:val="000000"/>
          <w:kern w:val="0"/>
          <w:sz w:val="28"/>
          <w:szCs w:val="28"/>
          <w:u w:val="none"/>
          <w:lang w:val="en-US" w:eastAsia="zh-CN" w:bidi="ar"/>
        </w:rPr>
        <w:t>单位盖章）</w:t>
      </w:r>
    </w:p>
    <w:p w14:paraId="3836863B">
      <w:pPr>
        <w:keepNext w:val="0"/>
        <w:keepLines w:val="0"/>
        <w:pageBreakBefore w:val="0"/>
        <w:widowControl w:val="0"/>
        <w:kinsoku/>
        <w:wordWrap/>
        <w:overflowPunct/>
        <w:topLinePunct w:val="0"/>
        <w:autoSpaceDE/>
        <w:autoSpaceDN/>
        <w:bidi w:val="0"/>
        <w:adjustRightInd/>
        <w:snapToGrid/>
        <w:spacing w:line="590" w:lineRule="exact"/>
        <w:ind w:firstLine="560" w:firstLineChars="200"/>
        <w:textAlignment w:val="auto"/>
        <w:rPr>
          <w:rFonts w:hint="eastAsia" w:ascii="Times New Roman" w:hAnsi="Times New Roman" w:eastAsia="方正仿宋_GBK" w:cs="Times New Roman"/>
          <w:sz w:val="32"/>
          <w:szCs w:val="32"/>
          <w:lang w:eastAsia="zh-CN"/>
        </w:rPr>
      </w:pPr>
      <w:r>
        <w:rPr>
          <w:rFonts w:hint="eastAsia" w:ascii="Nimbus Roman No9 L" w:hAnsi="Nimbus Roman No9 L" w:eastAsia="方正仿宋_GBK" w:cs="Nimbus Roman No9 L"/>
          <w:i w:val="0"/>
          <w:color w:val="000000"/>
          <w:kern w:val="0"/>
          <w:sz w:val="28"/>
          <w:szCs w:val="28"/>
          <w:u w:val="none"/>
          <w:lang w:val="en-US" w:eastAsia="zh-CN" w:bidi="ar"/>
        </w:rPr>
        <w:t xml:space="preserve">                                      </w:t>
      </w:r>
      <w:r>
        <w:rPr>
          <w:rFonts w:hint="default" w:ascii="Nimbus Roman No9 L" w:hAnsi="Nimbus Roman No9 L" w:eastAsia="方正仿宋_GBK" w:cs="Nimbus Roman No9 L"/>
          <w:i w:val="0"/>
          <w:color w:val="000000"/>
          <w:kern w:val="0"/>
          <w:sz w:val="28"/>
          <w:szCs w:val="28"/>
          <w:u w:val="none"/>
          <w:lang w:val="en-US" w:eastAsia="zh-CN" w:bidi="ar"/>
        </w:rPr>
        <w:t xml:space="preserve"> </w:t>
      </w:r>
      <w:r>
        <w:rPr>
          <w:rFonts w:hint="eastAsia" w:ascii="Nimbus Roman No9 L" w:hAnsi="Nimbus Roman No9 L" w:eastAsia="方正仿宋_GBK" w:cs="Nimbus Roman No9 L"/>
          <w:i w:val="0"/>
          <w:color w:val="000000"/>
          <w:kern w:val="0"/>
          <w:sz w:val="28"/>
          <w:szCs w:val="28"/>
          <w:u w:val="none"/>
          <w:lang w:val="en-US" w:eastAsia="zh-CN" w:bidi="ar"/>
        </w:rPr>
        <w:t xml:space="preserve">    </w:t>
      </w:r>
      <w:r>
        <w:rPr>
          <w:rFonts w:hint="default" w:ascii="Nimbus Roman No9 L" w:hAnsi="Nimbus Roman No9 L" w:eastAsia="方正仿宋_GBK" w:cs="Nimbus Roman No9 L"/>
          <w:i w:val="0"/>
          <w:color w:val="000000"/>
          <w:kern w:val="0"/>
          <w:sz w:val="28"/>
          <w:szCs w:val="28"/>
          <w:u w:val="none"/>
          <w:lang w:val="en-US" w:eastAsia="zh-CN" w:bidi="ar"/>
        </w:rPr>
        <w:t>年</w:t>
      </w:r>
      <w:r>
        <w:rPr>
          <w:rFonts w:hint="eastAsia" w:ascii="Nimbus Roman No9 L" w:hAnsi="Nimbus Roman No9 L" w:eastAsia="方正仿宋_GBK" w:cs="Nimbus Roman No9 L"/>
          <w:i w:val="0"/>
          <w:color w:val="000000"/>
          <w:kern w:val="0"/>
          <w:sz w:val="28"/>
          <w:szCs w:val="28"/>
          <w:u w:val="none"/>
          <w:lang w:val="en-US" w:eastAsia="zh-CN" w:bidi="ar"/>
        </w:rPr>
        <w:t xml:space="preserve">    </w:t>
      </w:r>
      <w:r>
        <w:rPr>
          <w:rFonts w:hint="default" w:ascii="Nimbus Roman No9 L" w:hAnsi="Nimbus Roman No9 L" w:eastAsia="方正仿宋_GBK" w:cs="Nimbus Roman No9 L"/>
          <w:i w:val="0"/>
          <w:color w:val="000000"/>
          <w:kern w:val="0"/>
          <w:sz w:val="28"/>
          <w:szCs w:val="28"/>
          <w:u w:val="none"/>
          <w:lang w:val="en-US" w:eastAsia="zh-CN" w:bidi="ar"/>
        </w:rPr>
        <w:t>月</w:t>
      </w:r>
      <w:r>
        <w:rPr>
          <w:rFonts w:hint="eastAsia" w:ascii="Nimbus Roman No9 L" w:hAnsi="Nimbus Roman No9 L" w:eastAsia="方正仿宋_GBK" w:cs="Nimbus Roman No9 L"/>
          <w:i w:val="0"/>
          <w:color w:val="000000"/>
          <w:kern w:val="0"/>
          <w:sz w:val="28"/>
          <w:szCs w:val="28"/>
          <w:u w:val="none"/>
          <w:lang w:val="en-US" w:eastAsia="zh-CN" w:bidi="ar"/>
        </w:rPr>
        <w:t xml:space="preserve">    </w:t>
      </w:r>
      <w:r>
        <w:rPr>
          <w:rFonts w:hint="default" w:ascii="Nimbus Roman No9 L" w:hAnsi="Nimbus Roman No9 L" w:eastAsia="方正仿宋_GBK" w:cs="Nimbus Roman No9 L"/>
          <w:i w:val="0"/>
          <w:color w:val="000000"/>
          <w:kern w:val="0"/>
          <w:sz w:val="28"/>
          <w:szCs w:val="28"/>
          <w:u w:val="none"/>
          <w:lang w:val="en-US" w:eastAsia="zh-CN" w:bidi="ar"/>
        </w:rPr>
        <w:t xml:space="preserve">日 </w:t>
      </w:r>
    </w:p>
    <w:sectPr>
      <w:headerReference r:id="rId3" w:type="default"/>
      <w:footerReference r:id="rId4" w:type="default"/>
      <w:pgSz w:w="11906" w:h="16838"/>
      <w:pgMar w:top="1962" w:right="1474" w:bottom="1848" w:left="1587" w:header="851" w:footer="992" w:gutter="0"/>
      <w:pgNumType w:fmt="numberInDash"/>
      <w:cols w:space="720" w:num="1"/>
      <w:rtlGutter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方正仿宋_GBK">
    <w:panose1 w:val="03000509000000000000"/>
    <w:charset w:val="86"/>
    <w:family w:val="auto"/>
    <w:pitch w:val="default"/>
    <w:sig w:usb0="00000001" w:usb1="080E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仿宋_GB2312">
    <w:panose1 w:val="02010609030101010101"/>
    <w:charset w:val="86"/>
    <w:family w:val="modern"/>
    <w:pitch w:val="default"/>
    <w:sig w:usb0="00000001" w:usb1="080E0000" w:usb2="00000000" w:usb3="00000000" w:csb0="00040000" w:csb1="00000000"/>
  </w:font>
  <w:font w:name="方正仿宋简体">
    <w:altName w:val="方正仿宋_GBK"/>
    <w:panose1 w:val="03000509000000000000"/>
    <w:charset w:val="86"/>
    <w:family w:val="auto"/>
    <w:pitch w:val="default"/>
    <w:sig w:usb0="00000000" w:usb1="0000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Nimbus Roman No9 L">
    <w:altName w:val="hakuyoxingshu7000"/>
    <w:panose1 w:val="00000000000000000000"/>
    <w:charset w:val="00"/>
    <w:family w:val="auto"/>
    <w:pitch w:val="default"/>
    <w:sig w:usb0="00000000" w:usb1="00000000" w:usb2="00000000" w:usb3="00000000" w:csb0="00040001" w:csb1="00000000"/>
  </w:font>
  <w:font w:name="hakuyoxingshu7000">
    <w:panose1 w:val="02000600000000000000"/>
    <w:charset w:val="86"/>
    <w:family w:val="auto"/>
    <w:pitch w:val="default"/>
    <w:sig w:usb0="FFFFFFFF" w:usb1="E9FFFFFF" w:usb2="0000003F" w:usb3="00000000" w:csb0="603F00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3827153">
    <w:pPr>
      <w:pStyle w:val="8"/>
      <w:ind w:left="4788" w:leftChars="2280" w:firstLine="6400" w:firstLineChars="2000"/>
      <w:rPr>
        <w:rFonts w:hint="eastAsia" w:eastAsia="仿宋"/>
        <w:sz w:val="32"/>
        <w:szCs w:val="48"/>
        <w:lang w:val="en-US" w:eastAsia="zh-CN"/>
      </w:rPr>
    </w:pPr>
    <w:r>
      <w:rPr>
        <w:sz w:val="32"/>
      </w:rPr>
      <mc:AlternateContent>
        <mc:Choice Requires="wps">
          <w:drawing>
            <wp:anchor distT="0" distB="0" distL="114300" distR="114300" simplePos="0" relativeHeight="251661312" behindDoc="0" locked="0" layoutInCell="1" allowOverlap="1">
              <wp:simplePos x="0" y="0"/>
              <wp:positionH relativeFrom="margin">
                <wp:align>outside</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7BBA29FD">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AUfPaqNwIAAG8EAAAOAAAAAAAAAAEAIAAAAB8BAABkcnMvZTJvRG9jLnht&#10;bFBLBQYAAAAABgAGAFkBAADIBQAAAAA=&#10;">
              <v:fill on="f" focussize="0,0"/>
              <v:stroke on="f" weight="0.5pt"/>
              <v:imagedata o:title=""/>
              <o:lock v:ext="edit" aspectratio="f"/>
              <v:textbox inset="0mm,0mm,0mm,0mm" style="mso-fit-shape-to-text:t;">
                <w:txbxContent>
                  <w:p w14:paraId="7BBA29FD">
                    <w:pPr>
                      <w:pStyle w:val="6"/>
                    </w:pP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- 1 -</w:t>
                    </w:r>
                    <w:r>
                      <w:rPr>
                        <w:rFonts w:hint="eastAsia" w:ascii="宋体" w:hAnsi="宋体" w:eastAsia="宋体" w:cs="宋体"/>
                        <w:sz w:val="28"/>
                        <w:szCs w:val="28"/>
                      </w:rPr>
                      <w:fldChar w:fldCharType="end"/>
                    </w:r>
                  </w:p>
                </w:txbxContent>
              </v:textbox>
            </v:shape>
          </w:pict>
        </mc:Fallback>
      </mc:AlternateContent>
    </w:r>
    <w:r>
      <w:rPr>
        <w:rFonts w:hint="eastAsia" w:eastAsia="仿宋"/>
        <w:sz w:val="32"/>
        <w:szCs w:val="48"/>
        <w:lang w:val="en-US" w:eastAsia="zh-CN"/>
      </w:rPr>
      <w:t xml:space="preserve">  </w:t>
    </w:r>
  </w:p>
  <w:p w14:paraId="55DC4866">
    <w:pPr>
      <w:pStyle w:val="8"/>
      <w:wordWrap w:val="0"/>
      <w:ind w:left="4788" w:leftChars="2280" w:firstLine="6400" w:firstLineChars="2000"/>
      <w:jc w:val="right"/>
      <w:rPr>
        <w:rFonts w:hint="eastAsia" w:ascii="宋体" w:hAnsi="宋体" w:eastAsia="宋体" w:cs="宋体"/>
        <w:b/>
        <w:bCs/>
        <w:color w:val="005192"/>
        <w:sz w:val="28"/>
        <w:szCs w:val="44"/>
        <w:lang w:val="en-US" w:eastAsia="zh-CN"/>
      </w:rPr>
    </w:pPr>
    <w:r>
      <w:rPr>
        <w:color w:val="FAFAFA"/>
        <w:sz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74295</wp:posOffset>
              </wp:positionV>
              <wp:extent cx="5616575" cy="1905"/>
              <wp:effectExtent l="0" t="10795" r="3175" b="15875"/>
              <wp:wrapNone/>
              <wp:docPr id="5" name="直接连接符 5"/>
              <wp:cNvGraphicFramePr/>
              <a:graphic xmlns:a="http://schemas.openxmlformats.org/drawingml/2006/main">
                <a:graphicData uri="http://schemas.microsoft.com/office/word/2010/wordprocessingShape">
                  <wps:wsp>
                    <wps:cNvCnPr/>
                    <wps:spPr>
                      <a:xfrm>
                        <a:off x="0" y="0"/>
                        <a:ext cx="5616575" cy="1905"/>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pt;margin-top:5.85pt;height:0.15pt;width:442.25pt;z-index:251660288;mso-width-relative:page;mso-height-relative:page;" filled="f" stroked="t" coordsize="21600,21600" o:gfxdata="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z&#10;p6XR1AAAAAYBAAAPAAAAAAAAAAEAIAAAACIAAABkcnMvZG93bnJldi54bWxQSwECFAAUAAAACACH&#10;TuJAB6gkL+8BAADDAwAADgAAAAAAAAABACAAAAAjAQAAZHJzL2Uyb0RvYy54bWxQSwUGAAAAAAYA&#10;BgBZAQAAhAUAAAAA&#10;">
              <v:fill on="f" focussize="0,0"/>
              <v:stroke weight="1.75pt" color="#005192" miterlimit="8" joinstyle="miter"/>
              <v:imagedata o:title=""/>
              <o:lock v:ext="edit" aspectratio="f"/>
            </v:line>
          </w:pict>
        </mc:Fallback>
      </mc:AlternateContent>
    </w:r>
    <w:r>
      <w:rPr>
        <w:rFonts w:hint="eastAsia" w:eastAsia="仿宋"/>
        <w:color w:val="FAFAFA"/>
        <w:sz w:val="32"/>
        <w:szCs w:val="48"/>
        <w:lang w:val="en-US" w:eastAsia="zh-CN"/>
      </w:rPr>
      <w:t>X</w:t>
    </w:r>
    <w:r>
      <w:rPr>
        <w:rFonts w:hint="eastAsia" w:ascii="宋体" w:hAnsi="宋体" w:eastAsia="宋体" w:cs="宋体"/>
        <w:b/>
        <w:bCs/>
        <w:color w:val="005192"/>
        <w:sz w:val="28"/>
        <w:szCs w:val="28"/>
        <w:lang w:val="en-US" w:eastAsia="zh-CN"/>
      </w:rPr>
      <w:t>亳州市人民政府发布</w:t>
    </w:r>
    <w:r>
      <w:rPr>
        <w:rFonts w:hint="eastAsia" w:ascii="宋体" w:hAnsi="宋体" w:eastAsia="宋体" w:cs="宋体"/>
        <w:b/>
        <w:bCs/>
        <w:color w:val="005192"/>
        <w:sz w:val="32"/>
        <w:szCs w:val="32"/>
        <w:lang w:val="en-US" w:eastAsia="zh-CN"/>
      </w:rPr>
      <w:t xml:space="preserve"> </w:t>
    </w:r>
    <w:r>
      <w:rPr>
        <w:rFonts w:hint="eastAsia" w:ascii="宋体" w:hAnsi="宋体" w:eastAsia="宋体" w:cs="宋体"/>
        <w:b/>
        <w:bCs/>
        <w:color w:val="005192"/>
        <w:sz w:val="28"/>
        <w:szCs w:val="44"/>
        <w:lang w:val="en-US" w:eastAsia="zh-CN"/>
      </w:rPr>
      <w:t xml:space="preserve">   </w:t>
    </w:r>
  </w:p>
  <w:p w14:paraId="7A2E298B">
    <w:pPr>
      <w:pStyle w:val="8"/>
      <w:wordWrap w:val="0"/>
      <w:ind w:left="4788" w:leftChars="2280" w:firstLine="5622" w:firstLineChars="2000"/>
      <w:jc w:val="right"/>
      <w:rPr>
        <w:rFonts w:hint="eastAsia" w:ascii="宋体" w:hAnsi="宋体" w:eastAsia="宋体" w:cs="宋体"/>
        <w:b/>
        <w:bCs/>
        <w:color w:val="005192"/>
        <w:sz w:val="28"/>
        <w:szCs w:val="44"/>
        <w:lang w:val="en-US" w:eastAsia="zh-C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2672C">
    <w:pPr>
      <w:pStyle w:val="8"/>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rPr>
    </w:pPr>
    <w:r>
      <w:rPr>
        <w:rFonts w:hint="eastAsia" w:ascii="宋体" w:hAnsi="宋体" w:eastAsia="宋体" w:cs="宋体"/>
        <w:b/>
        <w:bCs/>
        <w:color w:val="005192"/>
        <w:sz w:val="32"/>
      </w:rPr>
      <mc:AlternateContent>
        <mc:Choice Requires="wps">
          <w:drawing>
            <wp:anchor distT="0" distB="0" distL="114300" distR="114300" simplePos="0" relativeHeight="251659264" behindDoc="0" locked="0" layoutInCell="1" allowOverlap="1">
              <wp:simplePos x="0" y="0"/>
              <wp:positionH relativeFrom="column">
                <wp:posOffset>-3810</wp:posOffset>
              </wp:positionH>
              <wp:positionV relativeFrom="paragraph">
                <wp:posOffset>690245</wp:posOffset>
              </wp:positionV>
              <wp:extent cx="5620385" cy="0"/>
              <wp:effectExtent l="0" t="10795" r="18415" b="17780"/>
              <wp:wrapNone/>
              <wp:docPr id="4" name="直接连接符 4"/>
              <wp:cNvGraphicFramePr/>
              <a:graphic xmlns:a="http://schemas.openxmlformats.org/drawingml/2006/main">
                <a:graphicData uri="http://schemas.microsoft.com/office/word/2010/wordprocessingShape">
                  <wps:wsp>
                    <wps:cNvCnPr/>
                    <wps:spPr>
                      <a:xfrm>
                        <a:off x="4133850" y="864870"/>
                        <a:ext cx="5620385" cy="0"/>
                      </a:xfrm>
                      <a:prstGeom prst="line">
                        <a:avLst/>
                      </a:prstGeom>
                      <a:noFill/>
                      <a:ln w="22225" cap="flat" cmpd="sng" algn="ctr">
                        <a:solidFill>
                          <a:srgbClr val="005192"/>
                        </a:solidFill>
                        <a:prstDash val="solid"/>
                        <a:miter lim="800000"/>
                      </a:ln>
                      <a:effectLst/>
                    </wps:spPr>
                    <wps:bodyPr/>
                  </wps:wsp>
                </a:graphicData>
              </a:graphic>
            </wp:anchor>
          </w:drawing>
        </mc:Choice>
        <mc:Fallback>
          <w:pict>
            <v:line id="_x0000_s1026" o:spid="_x0000_s1026" o:spt="20" style="position:absolute;left:0pt;margin-left:-0.3pt;margin-top:54.35pt;height:0pt;width:442.55pt;z-index:251659264;mso-width-relative:page;mso-height-relative:page;" filled="f" stroked="t" coordsize="21600,21600" o:gfxdata="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">
              <v:fill on="f" focussize="0,0"/>
              <v:stroke weight="1.75pt" color="#005192" miterlimit="8" joinstyle="miter"/>
              <v:imagedata o:title=""/>
              <o:lock v:ext="edit" aspectratio="f"/>
            </v:line>
          </w:pict>
        </mc:Fallback>
      </mc:AlternateContent>
    </w:r>
  </w:p>
  <w:p w14:paraId="5DB9503B">
    <w:pPr>
      <w:pStyle w:val="8"/>
      <w:keepNext w:val="0"/>
      <w:keepLines w:val="0"/>
      <w:pageBreakBefore w:val="0"/>
      <w:widowControl w:val="0"/>
      <w:kinsoku/>
      <w:wordWrap/>
      <w:overflowPunct/>
      <w:topLinePunct w:val="0"/>
      <w:autoSpaceDE/>
      <w:autoSpaceDN/>
      <w:bidi w:val="0"/>
      <w:adjustRightInd/>
      <w:snapToGrid w:val="0"/>
      <w:textAlignment w:val="center"/>
      <w:rPr>
        <w:rFonts w:hint="eastAsia" w:ascii="宋体" w:hAnsi="宋体" w:eastAsia="宋体" w:cs="宋体"/>
        <w:b/>
        <w:bCs/>
        <w:color w:val="005192"/>
        <w:sz w:val="32"/>
        <w:szCs w:val="32"/>
        <w:lang w:val="en-US" w:eastAsia="zh-CN"/>
      </w:rPr>
    </w:pPr>
    <w:r>
      <w:rPr>
        <w:rFonts w:hint="eastAsia" w:ascii="宋体" w:hAnsi="宋体" w:eastAsia="宋体" w:cs="宋体"/>
        <w:b/>
        <w:bCs/>
        <w:color w:val="005192"/>
        <w:sz w:val="32"/>
      </w:rPr>
      <w:drawing>
        <wp:inline distT="0" distB="0" distL="114300" distR="114300">
          <wp:extent cx="308610" cy="308610"/>
          <wp:effectExtent l="0" t="0" r="15240" b="15240"/>
          <wp:docPr id="1" name="图片 1" descr="国徽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国徽1024"/>
                  <pic:cNvPicPr>
                    <a:picLocks noChangeAspect="1"/>
                  </pic:cNvPicPr>
                </pic:nvPicPr>
                <pic:blipFill>
                  <a:blip r:embed="rId1"/>
                  <a:stretch>
                    <a:fillRect/>
                  </a:stretch>
                </pic:blipFill>
                <pic:spPr>
                  <a:xfrm>
                    <a:off x="0" y="0"/>
                    <a:ext cx="308610" cy="308610"/>
                  </a:xfrm>
                  <a:prstGeom prst="rect">
                    <a:avLst/>
                  </a:prstGeom>
                  <a:noFill/>
                  <a:ln>
                    <a:noFill/>
                  </a:ln>
                </pic:spPr>
              </pic:pic>
            </a:graphicData>
          </a:graphic>
        </wp:inline>
      </w:drawing>
    </w:r>
    <w:r>
      <w:rPr>
        <w:rFonts w:hint="eastAsia" w:ascii="宋体" w:hAnsi="宋体" w:eastAsia="宋体" w:cs="宋体"/>
        <w:b/>
        <w:bCs/>
        <w:color w:val="005192"/>
        <w:sz w:val="32"/>
        <w:lang w:val="en-US" w:eastAsia="zh-CN"/>
      </w:rPr>
      <w:t>亳州市人民政府行政</w:t>
    </w:r>
    <w:r>
      <w:rPr>
        <w:rFonts w:hint="eastAsia" w:ascii="宋体" w:hAnsi="宋体" w:eastAsia="宋体" w:cs="宋体"/>
        <w:b/>
        <w:bCs/>
        <w:color w:val="005192"/>
        <w:sz w:val="32"/>
        <w:szCs w:val="32"/>
        <w:lang w:val="en-US" w:eastAsia="zh-CN"/>
      </w:rPr>
      <w:t>规范性文件</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3ZTk3NzY2NzNhN2VlMTZkMjBhYmIwYzI5OThmMjAifQ=="/>
  </w:docVars>
  <w:rsids>
    <w:rsidRoot w:val="00172A27"/>
    <w:rsid w:val="07CA2AB6"/>
    <w:rsid w:val="378D688D"/>
    <w:rsid w:val="3868100C"/>
    <w:rsid w:val="47F343E9"/>
    <w:rsid w:val="4D0F6EC5"/>
    <w:rsid w:val="5BFF2397"/>
    <w:rsid w:val="5C1647F6"/>
    <w:rsid w:val="5FF626F2"/>
    <w:rsid w:val="6B087627"/>
    <w:rsid w:val="72775C72"/>
    <w:rsid w:val="79E5408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nhideWhenUsed="0" w:uiPriority="99"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autoRedefine/>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15">
    <w:name w:val="Default Paragraph Font"/>
    <w:autoRedefine/>
    <w:semiHidden/>
    <w:qFormat/>
    <w:uiPriority w:val="0"/>
  </w:style>
  <w:style w:type="table" w:default="1" w:styleId="13">
    <w:name w:val="Normal Table"/>
    <w:autoRedefine/>
    <w:semiHidden/>
    <w:qFormat/>
    <w:uiPriority w:val="0"/>
    <w:tblPr>
      <w:tblCellMar>
        <w:top w:w="0" w:type="dxa"/>
        <w:left w:w="108" w:type="dxa"/>
        <w:bottom w:w="0" w:type="dxa"/>
        <w:right w:w="108" w:type="dxa"/>
      </w:tblCellMar>
    </w:tblPr>
  </w:style>
  <w:style w:type="paragraph" w:styleId="2">
    <w:name w:val="Body Text Indent 2"/>
    <w:basedOn w:val="1"/>
    <w:next w:val="1"/>
    <w:qFormat/>
    <w:uiPriority w:val="0"/>
    <w:pPr>
      <w:widowControl w:val="0"/>
      <w:spacing w:after="120" w:line="480" w:lineRule="auto"/>
      <w:ind w:left="420" w:leftChars="200" w:firstLine="880" w:firstLineChars="200"/>
      <w:jc w:val="both"/>
    </w:pPr>
    <w:rPr>
      <w:rFonts w:ascii="Times New Roman" w:hAnsi="Times New Roman" w:eastAsia="方正仿宋_GBK" w:cs="Times New Roman"/>
      <w:kern w:val="2"/>
      <w:sz w:val="32"/>
      <w:szCs w:val="24"/>
      <w:lang w:val="en-US" w:eastAsia="zh-CN" w:bidi="ar-SA"/>
    </w:rPr>
  </w:style>
  <w:style w:type="paragraph" w:styleId="4">
    <w:name w:val="annotation text"/>
    <w:basedOn w:val="1"/>
    <w:qFormat/>
    <w:uiPriority w:val="0"/>
    <w:pPr>
      <w:jc w:val="left"/>
    </w:pPr>
  </w:style>
  <w:style w:type="paragraph" w:styleId="5">
    <w:name w:val="Body Text"/>
    <w:basedOn w:val="1"/>
    <w:next w:val="6"/>
    <w:qFormat/>
    <w:uiPriority w:val="0"/>
    <w:pPr>
      <w:spacing w:before="0" w:after="140" w:line="276" w:lineRule="auto"/>
    </w:pPr>
    <w:rPr>
      <w:rFonts w:ascii="等线" w:hAnsi="等线" w:eastAsia="等线" w:cs="Times New Roman"/>
      <w:szCs w:val="22"/>
    </w:rPr>
  </w:style>
  <w:style w:type="paragraph" w:styleId="6">
    <w:name w:val="footer"/>
    <w:basedOn w:val="1"/>
    <w:qFormat/>
    <w:uiPriority w:val="0"/>
    <w:pPr>
      <w:tabs>
        <w:tab w:val="center" w:pos="4153"/>
        <w:tab w:val="right" w:pos="8306"/>
      </w:tabs>
      <w:snapToGrid w:val="0"/>
      <w:jc w:val="left"/>
    </w:pPr>
    <w:rPr>
      <w:sz w:val="18"/>
    </w:rPr>
  </w:style>
  <w:style w:type="paragraph" w:styleId="7">
    <w:name w:val="Body Text Indent"/>
    <w:basedOn w:val="1"/>
    <w:unhideWhenUsed/>
    <w:qFormat/>
    <w:uiPriority w:val="99"/>
    <w:pPr>
      <w:spacing w:line="520" w:lineRule="atLeast"/>
      <w:ind w:left="358" w:leftChars="128" w:firstLine="359" w:firstLineChars="123"/>
      <w:outlineLvl w:val="0"/>
    </w:pPr>
    <w:rPr>
      <w:rFonts w:ascii="Times New Roman" w:eastAsia="仿宋_GB2312"/>
      <w:spacing w:val="-14"/>
      <w:sz w:val="32"/>
    </w:rPr>
  </w:style>
  <w:style w:type="paragraph" w:styleId="8">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9">
    <w:name w:val="footnote text"/>
    <w:basedOn w:val="1"/>
    <w:next w:val="10"/>
    <w:qFormat/>
    <w:uiPriority w:val="99"/>
    <w:pPr>
      <w:snapToGrid w:val="0"/>
      <w:jc w:val="left"/>
    </w:pPr>
  </w:style>
  <w:style w:type="paragraph" w:styleId="10">
    <w:name w:val="Body Text First Indent 2"/>
    <w:basedOn w:val="7"/>
    <w:unhideWhenUsed/>
    <w:qFormat/>
    <w:uiPriority w:val="99"/>
    <w:pPr>
      <w:ind w:firstLine="420" w:firstLineChars="200"/>
    </w:pPr>
  </w:style>
  <w:style w:type="paragraph" w:styleId="11">
    <w:name w:val="Normal (Web)"/>
    <w:basedOn w:val="1"/>
    <w:autoRedefine/>
    <w:qFormat/>
    <w:uiPriority w:val="0"/>
    <w:pPr>
      <w:spacing w:before="100" w:beforeAutospacing="1" w:after="100" w:afterAutospacing="1"/>
      <w:ind w:left="0" w:right="0"/>
      <w:jc w:val="left"/>
    </w:pPr>
    <w:rPr>
      <w:kern w:val="0"/>
      <w:sz w:val="24"/>
      <w:lang w:val="en-US" w:eastAsia="zh-CN" w:bidi="ar"/>
    </w:rPr>
  </w:style>
  <w:style w:type="paragraph" w:styleId="12">
    <w:name w:val="Body Text First Indent"/>
    <w:basedOn w:val="5"/>
    <w:qFormat/>
    <w:uiPriority w:val="0"/>
    <w:pPr>
      <w:spacing w:before="120" w:after="240"/>
      <w:ind w:leftChars="100" w:firstLine="420" w:firstLineChars="100"/>
    </w:pPr>
  </w:style>
  <w:style w:type="table" w:styleId="14">
    <w:name w:val="Table Grid"/>
    <w:basedOn w:val="13"/>
    <w:qFormat/>
    <w:uiPriority w:val="0"/>
    <w:pPr>
      <w:widowControl w:val="0"/>
      <w:jc w:val="both"/>
    </w:pPr>
    <w:rPr>
      <w:rFonts w:ascii="Times New Roman" w:hAnsi="Times New Roman" w:eastAsia="宋体" w:cs="Times New Roman"/>
      <w:kern w:val="0"/>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16">
    <w:name w:val="page number"/>
    <w:basedOn w:val="15"/>
    <w:qFormat/>
    <w:uiPriority w:val="0"/>
  </w:style>
  <w:style w:type="paragraph" w:customStyle="1" w:styleId="17">
    <w:name w:val="仿宋正文"/>
    <w:basedOn w:val="1"/>
    <w:autoRedefine/>
    <w:qFormat/>
    <w:uiPriority w:val="0"/>
    <w:pPr>
      <w:spacing w:line="600" w:lineRule="exact"/>
      <w:ind w:firstLine="420" w:firstLineChars="200"/>
    </w:pPr>
    <w:rPr>
      <w:rFonts w:eastAsia="方正仿宋简体"/>
      <w:szCs w:val="32"/>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Kingsoft</Company>
  <Pages>7</Pages>
  <Words>2492</Words>
  <Characters>2573</Characters>
  <Lines>0</Lines>
  <Paragraphs>0</Paragraphs>
  <TotalTime>2</TotalTime>
  <ScaleCrop>false</ScaleCrop>
  <LinksUpToDate>false</LinksUpToDate>
  <CharactersWithSpaces>2806</CharactersWithSpaces>
  <Application>WPS Office_12.1.0.20784_F1E327BC-269C-435d-A152-05C5408002CA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2025-04-15T07:20:57Z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2052-12.1.0.20784</vt:lpwstr>
  </property>
  <property fmtid="{D5CDD505-2E9C-101B-9397-08002B2CF9AE}" pid="3" name="ICV">
    <vt:lpwstr>7BD83128349B4052B769CB302E3AF80B_13</vt:lpwstr>
  </property>
  <property fmtid="{D5CDD505-2E9C-101B-9397-08002B2CF9AE}" pid="4" name="KSOTemplateDocerSaveRecord">
    <vt:lpwstr>eyJoZGlkIjoiMDcyNjc3YWM5NGYyODYxNDE1ODhkZTI5ZTViNmNkZDAifQ==</vt:lpwstr>
  </property>
</Properties>
</file>