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330E0E">
      <w:pPr>
        <w:keepNext/>
        <w:keepLines w:val="0"/>
        <w:pageBreakBefore w:val="0"/>
        <w:widowControl w:val="0"/>
        <w:kinsoku/>
        <w:wordWrap/>
        <w:overflowPunct/>
        <w:topLinePunct w:val="0"/>
        <w:autoSpaceDE w:val="0"/>
        <w:autoSpaceDN w:val="0"/>
        <w:bidi w:val="0"/>
        <w:adjustRightInd/>
        <w:snapToGrid/>
        <w:spacing w:before="0" w:beforeLines="0" w:after="0" w:afterLines="0" w:line="600" w:lineRule="exact"/>
        <w:ind w:right="0" w:rightChars="0"/>
        <w:jc w:val="both"/>
        <w:textAlignment w:val="auto"/>
        <w:outlineLvl w:val="9"/>
        <w:rPr>
          <w:rFonts w:hint="default" w:ascii="Times New Roman" w:hAnsi="Times New Roman" w:eastAsia="方正仿宋_GBK" w:cs="Times New Roman"/>
          <w:color w:val="000000"/>
          <w:sz w:val="32"/>
          <w:szCs w:val="32"/>
          <w:lang w:eastAsia="zh-CN"/>
        </w:rPr>
      </w:pPr>
    </w:p>
    <w:p w14:paraId="4E75AD8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lang w:val="en-US" w:eastAsia="zh-CN"/>
        </w:rPr>
      </w:pPr>
    </w:p>
    <w:p w14:paraId="1E7DF2CC">
      <w:pPr>
        <w:keepNext w:val="0"/>
        <w:keepLines w:val="0"/>
        <w:pageBreakBefore w:val="0"/>
        <w:widowControl w:val="0"/>
        <w:suppressLineNumbers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color w:val="000000"/>
          <w:kern w:val="0"/>
          <w:sz w:val="44"/>
          <w:szCs w:val="44"/>
          <w:u w:val="none" w:color="auto"/>
          <w:lang w:val="en-US" w:eastAsia="zh-CN" w:bidi="ar"/>
        </w:rPr>
      </w:pPr>
      <w:r>
        <w:rPr>
          <w:rFonts w:hint="eastAsia" w:ascii="方正小标宋_GBK" w:hAnsi="方正小标宋_GBK" w:eastAsia="方正小标宋_GBK" w:cs="方正小标宋_GBK"/>
          <w:color w:val="000000"/>
          <w:kern w:val="0"/>
          <w:sz w:val="44"/>
          <w:szCs w:val="44"/>
          <w:u w:val="none" w:color="auto"/>
          <w:lang w:val="en-US" w:eastAsia="zh-CN" w:bidi="ar"/>
        </w:rPr>
        <w:t>亳州市人民政府关于印发</w:t>
      </w:r>
    </w:p>
    <w:p w14:paraId="57E1A743">
      <w:pPr>
        <w:keepNext w:val="0"/>
        <w:keepLines w:val="0"/>
        <w:pageBreakBefore w:val="0"/>
        <w:widowControl w:val="0"/>
        <w:suppressLineNumbers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color w:val="000000"/>
          <w:kern w:val="0"/>
          <w:sz w:val="44"/>
          <w:szCs w:val="44"/>
          <w:u w:val="none" w:color="auto"/>
          <w:lang w:val="en-US" w:eastAsia="zh-CN" w:bidi="ar"/>
        </w:rPr>
      </w:pPr>
      <w:r>
        <w:rPr>
          <w:rFonts w:hint="eastAsia" w:ascii="方正小标宋_GBK" w:hAnsi="方正小标宋_GBK" w:eastAsia="方正小标宋_GBK" w:cs="方正小标宋_GBK"/>
          <w:sz w:val="44"/>
          <w:szCs w:val="44"/>
          <w:u w:val="none" w:color="auto"/>
        </w:rPr>
        <w:t>亳州市农村村民住宅补偿安置办法</w:t>
      </w:r>
      <w:r>
        <w:rPr>
          <w:rFonts w:hint="eastAsia" w:ascii="方正小标宋_GBK" w:hAnsi="方正小标宋_GBK" w:eastAsia="方正小标宋_GBK" w:cs="方正小标宋_GBK"/>
          <w:color w:val="000000"/>
          <w:kern w:val="0"/>
          <w:sz w:val="44"/>
          <w:szCs w:val="44"/>
          <w:u w:val="none" w:color="auto"/>
          <w:lang w:val="en-US" w:eastAsia="zh-CN" w:bidi="ar"/>
        </w:rPr>
        <w:t>的通知</w:t>
      </w:r>
    </w:p>
    <w:p w14:paraId="409E2404">
      <w:pPr>
        <w:keepNext/>
        <w:keepLines w:val="0"/>
        <w:pageBreakBefore w:val="0"/>
        <w:widowControl w:val="0"/>
        <w:kinsoku/>
        <w:wordWrap/>
        <w:overflowPunct/>
        <w:topLinePunct w:val="0"/>
        <w:autoSpaceDE w:val="0"/>
        <w:autoSpaceDN w:val="0"/>
        <w:bidi w:val="0"/>
        <w:adjustRightInd/>
        <w:snapToGrid/>
        <w:spacing w:before="0" w:beforeLines="0" w:after="0" w:afterLines="0" w:line="590" w:lineRule="exact"/>
        <w:ind w:left="0" w:leftChars="0" w:right="0" w:rightChars="0" w:firstLine="640" w:firstLineChars="200"/>
        <w:jc w:val="center"/>
        <w:textAlignment w:val="auto"/>
        <w:outlineLvl w:val="9"/>
        <w:rPr>
          <w:rFonts w:hint="default" w:ascii="Times New Roman" w:hAnsi="Times New Roman" w:eastAsia="方正仿宋_GBK" w:cs="Times New Roman"/>
          <w:color w:val="000000"/>
          <w:sz w:val="32"/>
          <w:szCs w:val="32"/>
          <w:u w:val="none" w:color="auto"/>
          <w:lang w:eastAsia="zh-CN"/>
        </w:rPr>
      </w:pPr>
      <w:r>
        <w:rPr>
          <w:rFonts w:hint="default" w:ascii="Times New Roman" w:hAnsi="Times New Roman" w:eastAsia="方正仿宋_GBK" w:cs="Times New Roman"/>
          <w:color w:val="000000"/>
          <w:sz w:val="32"/>
          <w:u w:val="none" w:color="auto"/>
          <w:lang w:eastAsia="zh-CN"/>
        </w:rPr>
        <w:t>亳政秘</w:t>
      </w:r>
      <w:r>
        <w:rPr>
          <w:rFonts w:hint="default" w:ascii="Times New Roman" w:hAnsi="Times New Roman" w:eastAsia="方正仿宋_GBK" w:cs="Times New Roman"/>
          <w:color w:val="000000"/>
          <w:sz w:val="32"/>
          <w:szCs w:val="32"/>
          <w:u w:val="none" w:color="auto"/>
        </w:rPr>
        <w:t>〔20</w:t>
      </w:r>
      <w:r>
        <w:rPr>
          <w:rFonts w:hint="eastAsia" w:ascii="Times New Roman" w:hAnsi="Times New Roman" w:eastAsia="方正仿宋_GBK" w:cs="Times New Roman"/>
          <w:color w:val="000000"/>
          <w:sz w:val="32"/>
          <w:szCs w:val="32"/>
          <w:u w:val="none" w:color="auto"/>
          <w:lang w:val="en-US" w:eastAsia="zh-CN"/>
        </w:rPr>
        <w:t>25</w:t>
      </w:r>
      <w:r>
        <w:rPr>
          <w:rFonts w:hint="default" w:ascii="Times New Roman" w:hAnsi="Times New Roman" w:eastAsia="方正仿宋_GBK" w:cs="Times New Roman"/>
          <w:color w:val="000000"/>
          <w:sz w:val="32"/>
          <w:szCs w:val="32"/>
          <w:u w:val="none" w:color="auto"/>
        </w:rPr>
        <w:t>〕</w:t>
      </w:r>
      <w:r>
        <w:rPr>
          <w:rFonts w:hint="eastAsia" w:ascii="Times New Roman" w:hAnsi="Times New Roman" w:eastAsia="方正仿宋_GBK" w:cs="Times New Roman"/>
          <w:color w:val="000000"/>
          <w:sz w:val="32"/>
          <w:szCs w:val="32"/>
          <w:u w:val="none" w:color="auto"/>
          <w:lang w:val="en-US" w:eastAsia="zh-CN"/>
        </w:rPr>
        <w:t>32</w:t>
      </w:r>
      <w:r>
        <w:rPr>
          <w:rFonts w:hint="default" w:ascii="Times New Roman" w:hAnsi="Times New Roman" w:eastAsia="方正仿宋_GBK" w:cs="Times New Roman"/>
          <w:color w:val="000000"/>
          <w:sz w:val="32"/>
          <w:szCs w:val="32"/>
          <w:u w:val="none" w:color="auto"/>
          <w:lang w:eastAsia="zh-CN"/>
        </w:rPr>
        <w:t>号</w:t>
      </w:r>
    </w:p>
    <w:p w14:paraId="13B82ED1">
      <w:pPr>
        <w:keepNext w:val="0"/>
        <w:keepLines w:val="0"/>
        <w:pageBreakBefore w:val="0"/>
        <w:widowControl/>
        <w:suppressLineNumbers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kern w:val="0"/>
          <w:sz w:val="32"/>
          <w:szCs w:val="32"/>
          <w:u w:val="none" w:color="auto"/>
          <w:lang w:val="en-US" w:eastAsia="zh-CN" w:bidi="ar"/>
        </w:rPr>
      </w:pPr>
    </w:p>
    <w:p w14:paraId="1FC75B3B">
      <w:pPr>
        <w:keepNext w:val="0"/>
        <w:keepLines w:val="0"/>
        <w:pageBreakBefore w:val="0"/>
        <w:widowControl/>
        <w:suppressLineNumbers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kern w:val="0"/>
          <w:sz w:val="32"/>
          <w:szCs w:val="32"/>
          <w:u w:val="none" w:color="auto"/>
          <w:lang w:val="en-US" w:eastAsia="zh-CN" w:bidi="ar"/>
        </w:rPr>
      </w:pPr>
      <w:r>
        <w:rPr>
          <w:rFonts w:hint="default" w:ascii="Times New Roman" w:hAnsi="Times New Roman" w:eastAsia="方正仿宋_GBK" w:cs="Times New Roman"/>
          <w:color w:val="000000"/>
          <w:kern w:val="0"/>
          <w:sz w:val="32"/>
          <w:szCs w:val="32"/>
          <w:u w:val="none" w:color="auto"/>
          <w:lang w:val="en-US" w:eastAsia="zh-CN" w:bidi="ar"/>
        </w:rPr>
        <w:t xml:space="preserve">各县、区人民政府，亳州高新区管委会、亳芜现代产业园区管委会，市政府有关部门： </w:t>
      </w:r>
    </w:p>
    <w:p w14:paraId="13BD8463">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000000"/>
          <w:kern w:val="0"/>
          <w:sz w:val="32"/>
          <w:szCs w:val="32"/>
          <w:u w:val="none" w:color="auto"/>
          <w:lang w:val="en-US" w:eastAsia="zh-CN" w:bidi="ar"/>
        </w:rPr>
      </w:pPr>
      <w:r>
        <w:rPr>
          <w:rFonts w:hint="default" w:ascii="Times New Roman" w:hAnsi="Times New Roman" w:eastAsia="方正仿宋_GBK" w:cs="Times New Roman"/>
          <w:color w:val="000000"/>
          <w:kern w:val="0"/>
          <w:sz w:val="32"/>
          <w:szCs w:val="32"/>
          <w:u w:val="none" w:color="auto"/>
          <w:lang w:val="en-US" w:eastAsia="zh-CN" w:bidi="ar"/>
        </w:rPr>
        <w:t>《亳州市农村村民住宅补偿安置办法》已经市政府同意，现印发给你们，请认真贯彻落实。</w:t>
      </w:r>
    </w:p>
    <w:p w14:paraId="5C92BC3E">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000000"/>
          <w:kern w:val="0"/>
          <w:sz w:val="32"/>
          <w:szCs w:val="32"/>
          <w:u w:val="none" w:color="auto"/>
          <w:lang w:val="en-US" w:eastAsia="zh-CN" w:bidi="ar"/>
        </w:rPr>
      </w:pPr>
    </w:p>
    <w:p w14:paraId="2A48F4AB">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000000"/>
          <w:kern w:val="0"/>
          <w:sz w:val="32"/>
          <w:szCs w:val="32"/>
          <w:u w:val="none" w:color="auto"/>
          <w:lang w:val="en-US" w:eastAsia="zh-CN" w:bidi="ar"/>
        </w:rPr>
      </w:pPr>
    </w:p>
    <w:p w14:paraId="5B98FF64">
      <w:pPr>
        <w:pStyle w:val="2"/>
        <w:keepNext w:val="0"/>
        <w:keepLines w:val="0"/>
        <w:pageBreakBefore w:val="0"/>
        <w:widowControl w:val="0"/>
        <w:kinsoku/>
        <w:wordWrap/>
        <w:overflowPunct/>
        <w:topLinePunct w:val="0"/>
        <w:autoSpaceDE/>
        <w:autoSpaceDN/>
        <w:bidi w:val="0"/>
        <w:adjustRightInd/>
        <w:snapToGrid/>
        <w:spacing w:line="590" w:lineRule="exact"/>
        <w:ind w:left="0" w:leftChars="0" w:right="420" w:rightChars="200"/>
        <w:jc w:val="right"/>
        <w:textAlignment w:val="auto"/>
        <w:rPr>
          <w:rFonts w:hint="eastAsia" w:ascii="Times New Roman" w:hAnsi="Times New Roman" w:eastAsia="方正仿宋_GBK" w:cs="Times New Roman"/>
          <w:color w:val="000000"/>
          <w:kern w:val="0"/>
          <w:sz w:val="32"/>
          <w:szCs w:val="32"/>
          <w:u w:val="none" w:color="auto"/>
          <w:lang w:val="en-US" w:eastAsia="zh-CN" w:bidi="ar"/>
        </w:rPr>
      </w:pPr>
      <w:r>
        <w:rPr>
          <w:rFonts w:hint="eastAsia" w:ascii="Times New Roman" w:hAnsi="Times New Roman" w:eastAsia="方正仿宋_GBK" w:cs="Times New Roman"/>
          <w:color w:val="000000"/>
          <w:kern w:val="0"/>
          <w:sz w:val="32"/>
          <w:szCs w:val="32"/>
          <w:u w:val="none" w:color="auto"/>
          <w:lang w:val="en-US" w:eastAsia="zh-CN" w:bidi="ar"/>
        </w:rPr>
        <w:t>亳州市人民政府</w:t>
      </w:r>
    </w:p>
    <w:p w14:paraId="1F23B9FD">
      <w:pPr>
        <w:keepNext w:val="0"/>
        <w:keepLines w:val="0"/>
        <w:pageBreakBefore w:val="0"/>
        <w:widowControl/>
        <w:suppressLineNumbers w:val="0"/>
        <w:kinsoku/>
        <w:wordWrap/>
        <w:overflowPunct/>
        <w:topLinePunct w:val="0"/>
        <w:autoSpaceDE/>
        <w:autoSpaceDN/>
        <w:bidi w:val="0"/>
        <w:adjustRightInd/>
        <w:snapToGrid/>
        <w:spacing w:line="590" w:lineRule="exact"/>
        <w:ind w:right="252" w:rightChars="120" w:firstLine="640" w:firstLineChars="200"/>
        <w:jc w:val="right"/>
        <w:textAlignment w:val="auto"/>
        <w:rPr>
          <w:rFonts w:hint="default" w:ascii="Times New Roman" w:hAnsi="Times New Roman" w:eastAsia="方正仿宋_GBK" w:cs="Times New Roman"/>
          <w:color w:val="000000"/>
          <w:kern w:val="0"/>
          <w:sz w:val="32"/>
          <w:szCs w:val="32"/>
          <w:u w:val="none" w:color="auto"/>
          <w:lang w:val="en-US" w:eastAsia="zh-CN" w:bidi="ar"/>
        </w:rPr>
      </w:pPr>
      <w:r>
        <w:rPr>
          <w:rFonts w:hint="default" w:ascii="Times New Roman" w:hAnsi="Times New Roman" w:eastAsia="方正仿宋_GBK" w:cs="Times New Roman"/>
          <w:color w:val="000000"/>
          <w:kern w:val="0"/>
          <w:sz w:val="32"/>
          <w:szCs w:val="32"/>
          <w:u w:val="none" w:color="auto"/>
          <w:lang w:val="en-US" w:eastAsia="zh-CN" w:bidi="ar"/>
        </w:rPr>
        <w:t>2025年5月</w:t>
      </w:r>
      <w:r>
        <w:rPr>
          <w:rFonts w:hint="eastAsia" w:ascii="Times New Roman" w:hAnsi="Times New Roman" w:eastAsia="方正仿宋_GBK" w:cs="Times New Roman"/>
          <w:color w:val="000000"/>
          <w:kern w:val="0"/>
          <w:sz w:val="32"/>
          <w:szCs w:val="32"/>
          <w:u w:val="none" w:color="auto"/>
          <w:lang w:val="en-US" w:eastAsia="zh-CN" w:bidi="ar"/>
        </w:rPr>
        <w:t>14</w:t>
      </w:r>
      <w:r>
        <w:rPr>
          <w:rFonts w:hint="default" w:ascii="Times New Roman" w:hAnsi="Times New Roman" w:eastAsia="方正仿宋_GBK" w:cs="Times New Roman"/>
          <w:color w:val="000000"/>
          <w:kern w:val="0"/>
          <w:sz w:val="32"/>
          <w:szCs w:val="32"/>
          <w:u w:val="none" w:color="auto"/>
          <w:lang w:val="en-US" w:eastAsia="zh-CN" w:bidi="ar"/>
        </w:rPr>
        <w:t xml:space="preserve">日 </w:t>
      </w:r>
    </w:p>
    <w:p w14:paraId="06AB09E3">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color w:val="000000"/>
          <w:kern w:val="0"/>
          <w:sz w:val="32"/>
          <w:szCs w:val="32"/>
          <w:u w:val="none" w:color="auto"/>
          <w:lang w:val="en-US" w:eastAsia="zh-CN" w:bidi="ar"/>
        </w:rPr>
        <w:t>（此件公开发布）</w:t>
      </w:r>
      <w:r>
        <w:rPr>
          <w:rFonts w:hint="default" w:ascii="Times New Roman" w:hAnsi="Times New Roman" w:eastAsia="方正仿宋_GBK" w:cs="Times New Roman"/>
          <w:color w:val="000000"/>
          <w:kern w:val="0"/>
          <w:sz w:val="32"/>
          <w:szCs w:val="32"/>
          <w:u w:val="none" w:color="auto"/>
          <w:lang w:val="en-US" w:eastAsia="zh-CN" w:bidi="ar"/>
        </w:rPr>
        <w:t xml:space="preserve"> </w:t>
      </w:r>
      <w:r>
        <w:rPr>
          <w:rFonts w:hint="eastAsia" w:ascii="Times New Roman" w:hAnsi="Times New Roman" w:eastAsia="方正仿宋_GBK" w:cs="Times New Roman"/>
          <w:color w:val="000000"/>
          <w:kern w:val="0"/>
          <w:sz w:val="32"/>
          <w:szCs w:val="32"/>
          <w:u w:val="none" w:color="auto"/>
          <w:lang w:val="en-US" w:eastAsia="zh-CN" w:bidi="ar"/>
        </w:rPr>
        <w:t xml:space="preserve">    </w:t>
      </w:r>
      <w:r>
        <w:rPr>
          <w:rFonts w:hint="default" w:ascii="Times New Roman" w:hAnsi="Times New Roman" w:eastAsia="方正仿宋_GBK" w:cs="Times New Roman"/>
          <w:color w:val="000000"/>
          <w:kern w:val="0"/>
          <w:sz w:val="32"/>
          <w:szCs w:val="32"/>
          <w:u w:val="none" w:color="auto"/>
          <w:lang w:val="en-US" w:eastAsia="zh-CN" w:bidi="ar"/>
        </w:rPr>
        <w:t xml:space="preserve"> </w:t>
      </w:r>
    </w:p>
    <w:p w14:paraId="7C85E4DC">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default" w:ascii="Times New Roman" w:hAnsi="Times New Roman" w:eastAsia="方正仿宋_GBK" w:cs="Times New Roman"/>
          <w:sz w:val="32"/>
          <w:szCs w:val="32"/>
        </w:rPr>
      </w:pPr>
    </w:p>
    <w:p w14:paraId="224F3B85">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default" w:ascii="Times New Roman" w:hAnsi="Times New Roman" w:eastAsia="方正仿宋_GBK" w:cs="Times New Roman"/>
          <w:sz w:val="32"/>
          <w:szCs w:val="32"/>
        </w:rPr>
      </w:pPr>
    </w:p>
    <w:p w14:paraId="6F1CA905">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default" w:ascii="Times New Roman" w:hAnsi="Times New Roman" w:eastAsia="方正仿宋_GBK" w:cs="Times New Roman"/>
          <w:sz w:val="32"/>
          <w:szCs w:val="32"/>
        </w:rPr>
      </w:pPr>
    </w:p>
    <w:p w14:paraId="76EEC0D7">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default" w:ascii="Times New Roman" w:hAnsi="Times New Roman" w:eastAsia="方正仿宋_GBK" w:cs="Times New Roman"/>
          <w:sz w:val="32"/>
          <w:szCs w:val="32"/>
        </w:rPr>
      </w:pPr>
    </w:p>
    <w:p w14:paraId="12D3467E">
      <w:pPr>
        <w:rPr>
          <w:rFonts w:hint="default" w:ascii="Times New Roman" w:hAnsi="Times New Roman" w:eastAsia="方正仿宋_GBK" w:cs="Times New Roman"/>
          <w:sz w:val="32"/>
          <w:szCs w:val="32"/>
        </w:rPr>
      </w:pPr>
    </w:p>
    <w:p w14:paraId="54384C02">
      <w:pPr>
        <w:rPr>
          <w:rFonts w:hint="eastAsia"/>
          <w:lang w:eastAsia="zh-CN"/>
        </w:rPr>
      </w:pPr>
    </w:p>
    <w:p w14:paraId="5CAC7AFF">
      <w:pPr>
        <w:keepNext w:val="0"/>
        <w:keepLines w:val="0"/>
        <w:pageBreakBefore w:val="0"/>
        <w:widowControl w:val="0"/>
        <w:suppressLineNumbers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color w:val="000000"/>
          <w:kern w:val="0"/>
          <w:sz w:val="44"/>
          <w:szCs w:val="44"/>
          <w:u w:val="none" w:color="auto"/>
          <w:lang w:val="en-US" w:eastAsia="zh-CN" w:bidi="ar"/>
        </w:rPr>
      </w:pPr>
    </w:p>
    <w:p w14:paraId="0D98BC36">
      <w:pPr>
        <w:keepNext w:val="0"/>
        <w:keepLines w:val="0"/>
        <w:pageBreakBefore w:val="0"/>
        <w:widowControl w:val="0"/>
        <w:suppressLineNumbers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color w:val="000000"/>
          <w:kern w:val="0"/>
          <w:sz w:val="44"/>
          <w:szCs w:val="44"/>
          <w:u w:val="none" w:color="auto"/>
          <w:lang w:val="en-US" w:eastAsia="zh-CN" w:bidi="ar"/>
        </w:rPr>
      </w:pPr>
      <w:r>
        <w:rPr>
          <w:rFonts w:hint="eastAsia" w:ascii="方正小标宋_GBK" w:hAnsi="方正小标宋_GBK" w:eastAsia="方正小标宋_GBK" w:cs="方正小标宋_GBK"/>
          <w:color w:val="000000"/>
          <w:kern w:val="0"/>
          <w:sz w:val="44"/>
          <w:szCs w:val="44"/>
          <w:u w:val="none" w:color="auto"/>
          <w:lang w:val="en-US" w:eastAsia="zh-CN" w:bidi="ar"/>
        </w:rPr>
        <w:t>亳州市</w:t>
      </w:r>
      <w:bookmarkStart w:id="0" w:name="OLE_LINK2"/>
      <w:bookmarkStart w:id="1" w:name="OLE_LINK1"/>
      <w:r>
        <w:rPr>
          <w:rFonts w:hint="eastAsia" w:ascii="方正小标宋_GBK" w:hAnsi="方正小标宋_GBK" w:eastAsia="方正小标宋_GBK" w:cs="方正小标宋_GBK"/>
          <w:color w:val="000000"/>
          <w:kern w:val="0"/>
          <w:sz w:val="44"/>
          <w:szCs w:val="44"/>
          <w:u w:val="none" w:color="auto"/>
          <w:lang w:val="en-US" w:eastAsia="zh-CN" w:bidi="ar"/>
        </w:rPr>
        <w:t>农村村民住宅补偿安置办法</w:t>
      </w:r>
      <w:bookmarkEnd w:id="0"/>
      <w:bookmarkEnd w:id="1"/>
    </w:p>
    <w:p w14:paraId="4C6F47AD">
      <w:pPr>
        <w:pStyle w:val="12"/>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Times New Roman" w:hAnsi="Times New Roman" w:eastAsia="方正小标宋_GBK" w:cs="Times New Roman"/>
          <w:sz w:val="32"/>
          <w:szCs w:val="32"/>
          <w:u w:val="none" w:color="auto"/>
        </w:rPr>
      </w:pPr>
    </w:p>
    <w:p w14:paraId="3BC023A9">
      <w:pPr>
        <w:pStyle w:val="12"/>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方正小标宋简体" w:hAnsi="方正小标宋简体" w:eastAsia="方正小标宋简体" w:cs="方正小标宋简体"/>
          <w:sz w:val="32"/>
          <w:szCs w:val="32"/>
          <w:u w:val="none" w:color="auto"/>
        </w:rPr>
      </w:pPr>
      <w:r>
        <w:rPr>
          <w:rFonts w:hint="eastAsia" w:ascii="方正小标宋简体" w:hAnsi="方正小标宋简体" w:eastAsia="方正小标宋简体" w:cs="方正小标宋简体"/>
          <w:sz w:val="32"/>
          <w:szCs w:val="32"/>
          <w:u w:val="none" w:color="auto"/>
        </w:rPr>
        <w:t>第一章  总则</w:t>
      </w:r>
    </w:p>
    <w:p w14:paraId="61F336C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u w:val="none" w:color="auto"/>
        </w:rPr>
      </w:pPr>
      <w:r>
        <w:rPr>
          <w:rFonts w:hint="eastAsia" w:ascii="方正黑体_GBK" w:hAnsi="方正黑体_GBK" w:eastAsia="方正黑体_GBK" w:cs="方正黑体_GBK"/>
          <w:sz w:val="32"/>
          <w:szCs w:val="32"/>
          <w:u w:val="none" w:color="auto"/>
        </w:rPr>
        <w:t>第一条</w:t>
      </w:r>
      <w:r>
        <w:rPr>
          <w:rFonts w:hint="default" w:ascii="Times New Roman" w:hAnsi="Times New Roman" w:eastAsia="方正仿宋_GBK" w:cs="Times New Roman"/>
          <w:sz w:val="32"/>
          <w:szCs w:val="32"/>
          <w:u w:val="none" w:color="auto"/>
        </w:rPr>
        <w:t xml:space="preserve">  为规范我市农村村民住宅补偿安置工作，依法维护被征收人的合法权益，根据《中华人民共和国土地管理法》《中华人民共和国土地管理法实施条例》《安徽省实施&lt;中华人民共和国土地管理法&gt;办法》《安徽省土地征收及补偿安置办法》等相关法律法规，结合亳州实际，制定本办法。</w:t>
      </w:r>
    </w:p>
    <w:p w14:paraId="2E3E714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第二条</w:t>
      </w:r>
      <w:r>
        <w:rPr>
          <w:rFonts w:hint="default" w:ascii="Times New Roman" w:hAnsi="Times New Roman" w:eastAsia="方正仿宋_GBK" w:cs="Times New Roman"/>
          <w:sz w:val="32"/>
          <w:szCs w:val="32"/>
          <w:u w:val="none" w:color="auto"/>
        </w:rPr>
        <w:t xml:space="preserve">  农村村民住宅补偿安置是指依据法定的程序和批准权限，征收宅基地涉及农村村民住宅补偿安置的活动。</w:t>
      </w:r>
    </w:p>
    <w:p w14:paraId="081550F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第三条</w:t>
      </w:r>
      <w:r>
        <w:rPr>
          <w:rFonts w:hint="default" w:ascii="Times New Roman" w:hAnsi="Times New Roman" w:eastAsia="方正仿宋_GBK" w:cs="Times New Roman"/>
          <w:sz w:val="32"/>
          <w:szCs w:val="32"/>
          <w:u w:val="none" w:color="auto"/>
        </w:rPr>
        <w:t xml:space="preserve">  亳州市行政区域内集体土地上村（居）民住宅补偿安置适用于本办法。</w:t>
      </w:r>
    </w:p>
    <w:p w14:paraId="0696FFA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第四条</w:t>
      </w:r>
      <w:r>
        <w:rPr>
          <w:rFonts w:hint="default" w:ascii="Times New Roman" w:hAnsi="Times New Roman" w:eastAsia="方正仿宋_GBK" w:cs="Times New Roman"/>
          <w:sz w:val="32"/>
          <w:szCs w:val="32"/>
          <w:u w:val="none" w:color="auto"/>
        </w:rPr>
        <w:t xml:space="preserve">  农村村民住宅补偿安置应当遵循合法、合理、公平、公开的原则，保障被征地农民的知情权、参与权、监督权，保障被征地农民及时足额获得补偿、得到妥善安置。</w:t>
      </w:r>
    </w:p>
    <w:p w14:paraId="1030E59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第五条</w:t>
      </w:r>
      <w:r>
        <w:rPr>
          <w:rFonts w:hint="default" w:ascii="Times New Roman" w:hAnsi="Times New Roman" w:eastAsia="方正仿宋_GBK" w:cs="Times New Roman"/>
          <w:sz w:val="32"/>
          <w:szCs w:val="32"/>
          <w:u w:val="none" w:color="auto"/>
        </w:rPr>
        <w:t xml:space="preserve">  市、县（区）人民政府负责农村村民住宅补偿安置工作，相关部门按各自职能职责，密切配合，共同做好农村村民住宅补偿安置工作。土地征收具体事务可以由乡镇人民政府（街道办事处）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等土地征收实施机构承担。</w:t>
      </w:r>
    </w:p>
    <w:p w14:paraId="71CDA91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市、县（区）人民政府应在项目（村庄）土地征收时按照本办法制定补偿安置实施方案。</w:t>
      </w:r>
    </w:p>
    <w:p w14:paraId="64F45F99">
      <w:pPr>
        <w:pStyle w:val="12"/>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方正小标宋简体" w:hAnsi="方正小标宋简体" w:eastAsia="方正小标宋简体" w:cs="方正小标宋简体"/>
          <w:sz w:val="32"/>
          <w:szCs w:val="32"/>
          <w:u w:val="none" w:color="auto"/>
        </w:rPr>
      </w:pPr>
      <w:r>
        <w:rPr>
          <w:rFonts w:hint="default" w:ascii="方正小标宋简体" w:hAnsi="方正小标宋简体" w:eastAsia="方正小标宋简体" w:cs="方正小标宋简体"/>
          <w:sz w:val="32"/>
          <w:szCs w:val="32"/>
          <w:u w:val="none" w:color="auto"/>
        </w:rPr>
        <w:t>第二章  征收补偿安置程序</w:t>
      </w:r>
    </w:p>
    <w:p w14:paraId="7566770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第六条</w:t>
      </w:r>
      <w:r>
        <w:rPr>
          <w:rFonts w:hint="default" w:ascii="Times New Roman" w:hAnsi="Times New Roman" w:eastAsia="方正仿宋_GBK" w:cs="Times New Roman"/>
          <w:sz w:val="32"/>
          <w:szCs w:val="32"/>
          <w:u w:val="none" w:color="auto"/>
        </w:rPr>
        <w:t xml:space="preserve">  发布征收土地预公告。为了公共利益的需要，市、县（区）人民政府对需要征收的土地发布征收土地预公告。自发布之日起，禁止任何单位和个人在土地拟征收范围内实施下列事项：</w:t>
      </w:r>
    </w:p>
    <w:p w14:paraId="56D2443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（一）抢栽抢建；</w:t>
      </w:r>
    </w:p>
    <w:p w14:paraId="4F2FDAC5">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b w:val="0"/>
          <w:bCs/>
          <w:sz w:val="32"/>
          <w:szCs w:val="32"/>
          <w:highlight w:val="none"/>
          <w:u w:val="none" w:color="auto"/>
        </w:rPr>
      </w:pPr>
      <w:r>
        <w:rPr>
          <w:rFonts w:hint="default" w:ascii="Times New Roman" w:hAnsi="Times New Roman" w:eastAsia="方正仿宋_GBK" w:cs="Times New Roman"/>
          <w:sz w:val="32"/>
          <w:szCs w:val="32"/>
          <w:u w:val="none" w:color="auto"/>
        </w:rPr>
        <w:t>（二）</w:t>
      </w:r>
      <w:r>
        <w:rPr>
          <w:rFonts w:hint="default" w:ascii="Times New Roman" w:hAnsi="Times New Roman" w:eastAsia="方正仿宋_GBK" w:cs="Times New Roman"/>
          <w:b w:val="0"/>
          <w:bCs/>
          <w:sz w:val="32"/>
          <w:szCs w:val="32"/>
          <w:highlight w:val="none"/>
          <w:u w:val="none" w:color="auto"/>
          <w:lang w:val="en-US" w:eastAsia="zh-CN"/>
        </w:rPr>
        <w:t>两</w:t>
      </w:r>
      <w:r>
        <w:rPr>
          <w:rFonts w:hint="default" w:ascii="Times New Roman" w:hAnsi="Times New Roman" w:eastAsia="方正仿宋_GBK" w:cs="Times New Roman"/>
          <w:b w:val="0"/>
          <w:bCs/>
          <w:sz w:val="32"/>
          <w:szCs w:val="32"/>
          <w:highlight w:val="none"/>
          <w:u w:val="none" w:color="auto"/>
        </w:rPr>
        <w:t>年内新建、改建、扩建房屋；</w:t>
      </w:r>
    </w:p>
    <w:p w14:paraId="36B6294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b w:val="0"/>
          <w:bCs/>
          <w:sz w:val="32"/>
          <w:szCs w:val="32"/>
          <w:highlight w:val="none"/>
          <w:u w:val="none" w:color="auto"/>
        </w:rPr>
        <w:t>（三）</w:t>
      </w:r>
      <w:r>
        <w:rPr>
          <w:rFonts w:hint="default" w:ascii="Times New Roman" w:hAnsi="Times New Roman" w:eastAsia="方正仿宋_GBK" w:cs="Times New Roman"/>
          <w:b w:val="0"/>
          <w:bCs/>
          <w:sz w:val="32"/>
          <w:szCs w:val="32"/>
          <w:highlight w:val="none"/>
          <w:u w:val="none" w:color="auto"/>
          <w:lang w:val="en-US" w:eastAsia="zh-CN"/>
        </w:rPr>
        <w:t>两</w:t>
      </w:r>
      <w:r>
        <w:rPr>
          <w:rFonts w:hint="default" w:ascii="Times New Roman" w:hAnsi="Times New Roman" w:eastAsia="方正仿宋_GBK" w:cs="Times New Roman"/>
          <w:b w:val="0"/>
          <w:bCs/>
          <w:sz w:val="32"/>
          <w:szCs w:val="32"/>
          <w:highlight w:val="none"/>
          <w:u w:val="none" w:color="auto"/>
        </w:rPr>
        <w:t>年内</w:t>
      </w:r>
      <w:r>
        <w:rPr>
          <w:rFonts w:hint="default" w:ascii="Times New Roman" w:hAnsi="Times New Roman" w:eastAsia="方正仿宋_GBK" w:cs="Times New Roman"/>
          <w:sz w:val="32"/>
          <w:szCs w:val="32"/>
          <w:u w:val="none" w:color="auto"/>
        </w:rPr>
        <w:t>改变房屋和土地用途；</w:t>
      </w:r>
    </w:p>
    <w:p w14:paraId="22E5371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（四）其他不当增加补偿费的行为。</w:t>
      </w:r>
    </w:p>
    <w:p w14:paraId="28BF64B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存在上述禁止情形的部分不予补偿。</w:t>
      </w:r>
    </w:p>
    <w:p w14:paraId="53DC37B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lang w:eastAsia="zh-CN"/>
        </w:rPr>
      </w:pPr>
      <w:r>
        <w:rPr>
          <w:rFonts w:hint="default" w:ascii="Times New Roman" w:hAnsi="Times New Roman" w:eastAsia="方正仿宋_GBK" w:cs="Times New Roman"/>
          <w:sz w:val="32"/>
          <w:szCs w:val="32"/>
          <w:u w:val="none" w:color="auto"/>
        </w:rPr>
        <w:t>已经批准或者符合法定条件申请后经批准的除外</w:t>
      </w:r>
      <w:r>
        <w:rPr>
          <w:rFonts w:hint="default" w:ascii="Times New Roman" w:hAnsi="Times New Roman" w:eastAsia="方正仿宋_GBK" w:cs="Times New Roman"/>
          <w:sz w:val="32"/>
          <w:szCs w:val="32"/>
          <w:u w:val="none" w:color="auto"/>
          <w:lang w:eastAsia="zh-CN"/>
        </w:rPr>
        <w:t>。</w:t>
      </w:r>
    </w:p>
    <w:p w14:paraId="448E972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第七条</w:t>
      </w:r>
      <w:r>
        <w:rPr>
          <w:rFonts w:hint="default" w:ascii="Times New Roman" w:hAnsi="Times New Roman" w:eastAsia="方正仿宋_GBK" w:cs="Times New Roman"/>
          <w:sz w:val="32"/>
          <w:szCs w:val="32"/>
          <w:u w:val="none" w:color="auto"/>
        </w:rPr>
        <w:t xml:space="preserve">  招选房屋评估机构。征收土地预公告发布后，由乡镇人民政府（街道办事处）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等土地征收实施机构与被征收人协商选定具有评估资质的房屋评估机构，协商不成的，以摇号的方式确定房屋评估机构。</w:t>
      </w:r>
    </w:p>
    <w:p w14:paraId="57920DB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 xml:space="preserve">第八条 </w:t>
      </w:r>
      <w:r>
        <w:rPr>
          <w:rFonts w:hint="default" w:ascii="Times New Roman" w:hAnsi="Times New Roman" w:eastAsia="方正仿宋_GBK" w:cs="Times New Roman"/>
          <w:sz w:val="32"/>
          <w:szCs w:val="32"/>
          <w:u w:val="none" w:color="auto"/>
        </w:rPr>
        <w:t xml:space="preserve"> 开展房屋现状调查。征收土地预公告发布后，乡镇人民政府（街道办事处）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对拟征收范围内农村村民住宅进行调查和登记，准确记录房屋的权属、结构、用途、性质、面积、建筑建设时间及其附属物等，确定房屋现状。被征收人应当按规定时间参加现场调查确认，不能参加的，可以委托他人参加。不能参加又不委托他人参加，或者到场参加调查又不确认调查结果的，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等土地征收实施机构应当对调查行为、结果进行证据保全。</w:t>
      </w:r>
    </w:p>
    <w:p w14:paraId="1F3EBF5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等土地征收实施机构应及时协调相关部门和涉及的农村集体经济组织，对征收范围内农村房屋进行认定，根据认定结果制作认定表，由农村集体经济组织、乡镇人民政府（街道办事处）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和被征收人审核确认后，作为征收补偿安置的依据。农村村民住宅现状调查认定结果应当在拟征收土地所在乡镇（街道）、村（居）、村（居）小组范围内进行公示，公示期不少于5日。公示期内，被征收人有异议的，可向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等土地征收实施机构提出复查申请，征收实施机构应当自收到复查申请之日起五日内将复查结果书面告知申请人。</w:t>
      </w:r>
    </w:p>
    <w:p w14:paraId="72FDB485">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第九条</w:t>
      </w:r>
      <w:r>
        <w:rPr>
          <w:rFonts w:hint="default" w:ascii="Times New Roman" w:hAnsi="Times New Roman" w:eastAsia="方正仿宋_GBK" w:cs="Times New Roman"/>
          <w:sz w:val="32"/>
          <w:szCs w:val="32"/>
          <w:u w:val="none" w:color="auto"/>
        </w:rPr>
        <w:t xml:space="preserve">  发布征地补偿安置公告。市、县（区）人民政府应当依据社会稳定风险评估结果，结合土地现状调查情况，组织相关部门拟定征收补偿安置方案，在政府门户网站和拟征收土地所在乡镇（街道）、村（</w:t>
      </w:r>
      <w:r>
        <w:rPr>
          <w:rFonts w:hint="default" w:ascii="Times New Roman" w:hAnsi="Times New Roman" w:eastAsia="方正仿宋_GBK" w:cs="Times New Roman"/>
          <w:sz w:val="32"/>
          <w:szCs w:val="32"/>
          <w:u w:val="none" w:color="auto"/>
          <w:lang w:eastAsia="zh-CN"/>
        </w:rPr>
        <w:t>居</w:t>
      </w:r>
      <w:r>
        <w:rPr>
          <w:rFonts w:hint="default" w:ascii="Times New Roman" w:hAnsi="Times New Roman" w:eastAsia="方正仿宋_GBK" w:cs="Times New Roman"/>
          <w:sz w:val="32"/>
          <w:szCs w:val="32"/>
          <w:u w:val="none" w:color="auto"/>
        </w:rPr>
        <w:t>）、村（居）民小组范围内进行公告。</w:t>
      </w:r>
    </w:p>
    <w:p w14:paraId="2BDC379D">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第十条</w:t>
      </w:r>
      <w:r>
        <w:rPr>
          <w:rFonts w:hint="default" w:ascii="Times New Roman" w:hAnsi="Times New Roman" w:eastAsia="方正仿宋_GBK" w:cs="Times New Roman"/>
          <w:sz w:val="32"/>
          <w:szCs w:val="32"/>
          <w:u w:val="none" w:color="auto"/>
        </w:rPr>
        <w:t xml:space="preserve">  开展补偿登记及征地补偿安置协议签订工作。乡镇人民政府（街道办事处）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等土地征收实施机构负责实施土地征收补偿登记。市、县（区）人民政府应当与拟征收土地所有权人、使用权人签订征地补偿安置协议，也可以委托乡镇人民政府（街道办事处）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等土地征收实施机构签订征地补偿安置协议。所涉补偿事项的基准日为征地补偿安置公告发布之日。</w:t>
      </w:r>
    </w:p>
    <w:p w14:paraId="2A2DED5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市、县（区）人民政府财政部门应当将农村征地费用足额存入非税收汇缴结算户；未足额到位的，不得申请征收土地。</w:t>
      </w:r>
    </w:p>
    <w:p w14:paraId="4A3A617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 xml:space="preserve">第十一条  </w:t>
      </w:r>
      <w:r>
        <w:rPr>
          <w:rFonts w:hint="default" w:ascii="Times New Roman" w:hAnsi="Times New Roman" w:eastAsia="方正仿宋_GBK" w:cs="Times New Roman"/>
          <w:sz w:val="32"/>
          <w:szCs w:val="32"/>
          <w:u w:val="none" w:color="auto"/>
        </w:rPr>
        <w:t>发布征收土地公告。征收土地申请经依法批准后，市、县（区）人民政府应当在规定时间内在征收土地所在乡镇（街道）和村（</w:t>
      </w:r>
      <w:r>
        <w:rPr>
          <w:rFonts w:hint="default" w:ascii="Times New Roman" w:hAnsi="Times New Roman" w:eastAsia="方正仿宋_GBK" w:cs="Times New Roman"/>
          <w:sz w:val="32"/>
          <w:szCs w:val="32"/>
          <w:u w:val="none" w:color="auto"/>
          <w:lang w:eastAsia="zh-CN"/>
        </w:rPr>
        <w:t>居</w:t>
      </w:r>
      <w:r>
        <w:rPr>
          <w:rFonts w:hint="default" w:ascii="Times New Roman" w:hAnsi="Times New Roman" w:eastAsia="方正仿宋_GBK" w:cs="Times New Roman"/>
          <w:sz w:val="32"/>
          <w:szCs w:val="32"/>
          <w:u w:val="none" w:color="auto"/>
        </w:rPr>
        <w:t>）、村（居）民小组范围内发布征收土地公告。</w:t>
      </w:r>
    </w:p>
    <w:p w14:paraId="54CE7E0D">
      <w:pPr>
        <w:pStyle w:val="12"/>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方正小标宋简体" w:hAnsi="方正小标宋简体" w:eastAsia="方正小标宋简体" w:cs="方正小标宋简体"/>
          <w:sz w:val="32"/>
          <w:szCs w:val="32"/>
          <w:u w:val="none" w:color="auto"/>
        </w:rPr>
      </w:pPr>
    </w:p>
    <w:p w14:paraId="021DD02F">
      <w:pPr>
        <w:pStyle w:val="12"/>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方正小标宋简体" w:hAnsi="方正小标宋简体" w:eastAsia="方正小标宋简体" w:cs="方正小标宋简体"/>
          <w:sz w:val="32"/>
          <w:szCs w:val="32"/>
          <w:u w:val="none" w:color="auto"/>
        </w:rPr>
      </w:pPr>
      <w:r>
        <w:rPr>
          <w:rFonts w:hint="default" w:ascii="方正小标宋简体" w:hAnsi="方正小标宋简体" w:eastAsia="方正小标宋简体" w:cs="方正小标宋简体"/>
          <w:sz w:val="32"/>
          <w:szCs w:val="32"/>
          <w:u w:val="none" w:color="auto"/>
        </w:rPr>
        <w:t>第三章  补偿安置方式和标准</w:t>
      </w:r>
    </w:p>
    <w:p w14:paraId="30D5F7C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第十二条</w:t>
      </w:r>
      <w:r>
        <w:rPr>
          <w:rFonts w:hint="default" w:ascii="Times New Roman" w:hAnsi="Times New Roman" w:eastAsia="方正仿宋_GBK" w:cs="Times New Roman"/>
          <w:sz w:val="32"/>
          <w:szCs w:val="32"/>
          <w:u w:val="none" w:color="auto"/>
        </w:rPr>
        <w:t xml:space="preserve">  安置户和安置人员的认定。</w:t>
      </w:r>
    </w:p>
    <w:p w14:paraId="385B19C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sz w:val="32"/>
          <w:szCs w:val="32"/>
          <w:u w:val="none" w:color="auto"/>
        </w:rPr>
      </w:pPr>
      <w:r>
        <w:rPr>
          <w:rFonts w:hint="default" w:ascii="Times New Roman" w:hAnsi="Times New Roman" w:eastAsia="方正仿宋_GBK" w:cs="Times New Roman"/>
          <w:color w:val="000000"/>
          <w:sz w:val="32"/>
          <w:szCs w:val="32"/>
          <w:u w:val="none" w:color="auto"/>
        </w:rPr>
        <w:t>（一）征收计户标准。</w:t>
      </w:r>
    </w:p>
    <w:p w14:paraId="5D39340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以发布征地补偿安置公告之日拥有合法有效的证件（以户籍登记在当地农村的户口簿、土地承包经营权证或集体建设用地（宅基地）使用证为准）计户，无有效证件的以自然户计户，按户进行补偿。</w:t>
      </w:r>
    </w:p>
    <w:p w14:paraId="1780BD9D">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（二）被确认为安置户后，有下列情形之一的确认为安置人员：</w:t>
      </w:r>
    </w:p>
    <w:p w14:paraId="588D99E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sz w:val="32"/>
          <w:szCs w:val="32"/>
          <w:u w:val="none" w:color="auto"/>
        </w:rPr>
      </w:pPr>
      <w:r>
        <w:rPr>
          <w:rFonts w:hint="default" w:ascii="Times New Roman" w:hAnsi="Times New Roman" w:eastAsia="方正仿宋_GBK" w:cs="Times New Roman"/>
          <w:color w:val="000000"/>
          <w:sz w:val="32"/>
          <w:szCs w:val="32"/>
          <w:u w:val="none" w:color="auto"/>
        </w:rPr>
        <w:t>1.征收安置对象的配偶、未婚子女为非本农村集体经济组织成员，在征收范围内长期居住，且未享受农村村民住宅征收安置政策的；</w:t>
      </w:r>
    </w:p>
    <w:p w14:paraId="171AEE9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sz w:val="32"/>
          <w:szCs w:val="32"/>
          <w:u w:val="none" w:color="auto"/>
        </w:rPr>
      </w:pPr>
      <w:r>
        <w:rPr>
          <w:rFonts w:hint="default" w:ascii="Times New Roman" w:hAnsi="Times New Roman" w:eastAsia="方正仿宋_GBK" w:cs="Times New Roman"/>
          <w:color w:val="000000"/>
          <w:sz w:val="32"/>
          <w:szCs w:val="32"/>
          <w:u w:val="none" w:color="auto"/>
        </w:rPr>
        <w:t>2.在征地补偿安置公告发布前的新生儿；</w:t>
      </w:r>
    </w:p>
    <w:p w14:paraId="6FF07ABB">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sz w:val="32"/>
          <w:szCs w:val="32"/>
          <w:u w:val="none" w:color="auto"/>
        </w:rPr>
      </w:pPr>
      <w:r>
        <w:rPr>
          <w:rFonts w:hint="default" w:ascii="Times New Roman" w:hAnsi="Times New Roman" w:eastAsia="方正仿宋_GBK" w:cs="Times New Roman"/>
          <w:color w:val="000000"/>
          <w:sz w:val="32"/>
          <w:szCs w:val="32"/>
          <w:u w:val="none" w:color="auto"/>
        </w:rPr>
        <w:t>3.原户籍在本地的在校学生、部队服役士兵、劳改服刑人员；</w:t>
      </w:r>
    </w:p>
    <w:p w14:paraId="7043772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sz w:val="32"/>
          <w:szCs w:val="32"/>
          <w:u w:val="none" w:color="auto"/>
        </w:rPr>
      </w:pPr>
      <w:r>
        <w:rPr>
          <w:rFonts w:hint="default" w:ascii="Times New Roman" w:hAnsi="Times New Roman" w:eastAsia="方正仿宋_GBK" w:cs="Times New Roman"/>
          <w:color w:val="000000"/>
          <w:sz w:val="32"/>
          <w:szCs w:val="32"/>
          <w:u w:val="none" w:color="auto"/>
        </w:rPr>
        <w:t>4.</w:t>
      </w:r>
      <w:r>
        <w:rPr>
          <w:rFonts w:hint="default" w:ascii="Times New Roman" w:hAnsi="Times New Roman" w:eastAsia="方正仿宋_GBK" w:cs="Times New Roman"/>
          <w:sz w:val="32"/>
          <w:szCs w:val="32"/>
          <w:u w:val="none" w:color="auto"/>
        </w:rPr>
        <w:t>成员结婚后在征地补偿安置公告发布前仍为本集体经济组织成员的；</w:t>
      </w:r>
    </w:p>
    <w:p w14:paraId="6ACAE1C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sz w:val="32"/>
          <w:szCs w:val="32"/>
          <w:u w:val="none" w:color="auto"/>
        </w:rPr>
      </w:pPr>
      <w:r>
        <w:rPr>
          <w:rFonts w:hint="default" w:ascii="Times New Roman" w:hAnsi="Times New Roman" w:eastAsia="方正仿宋_GBK" w:cs="Times New Roman"/>
          <w:color w:val="000000"/>
          <w:sz w:val="32"/>
          <w:szCs w:val="32"/>
          <w:u w:val="none" w:color="auto"/>
        </w:rPr>
        <w:t>5.法律法规及政策规定应予安置的其他人员。</w:t>
      </w:r>
    </w:p>
    <w:p w14:paraId="7C969E0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（三）下列人员不认定为安置人员：</w:t>
      </w:r>
    </w:p>
    <w:p w14:paraId="7FC6A6E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1.</w:t>
      </w:r>
      <w:r>
        <w:rPr>
          <w:rFonts w:hint="default" w:ascii="Times New Roman" w:hAnsi="Times New Roman" w:eastAsia="方正仿宋_GBK" w:cs="Times New Roman"/>
          <w:color w:val="000000"/>
          <w:sz w:val="32"/>
          <w:szCs w:val="32"/>
          <w:u w:val="none" w:color="auto"/>
        </w:rPr>
        <w:t>在征地补偿安置公告发布前，</w:t>
      </w:r>
      <w:r>
        <w:rPr>
          <w:rFonts w:hint="default" w:ascii="Times New Roman" w:hAnsi="Times New Roman" w:eastAsia="方正仿宋_GBK" w:cs="Times New Roman"/>
          <w:sz w:val="32"/>
          <w:szCs w:val="32"/>
          <w:u w:val="none" w:color="auto"/>
        </w:rPr>
        <w:t>依法丧失农村集体经济组织成员身份的；</w:t>
      </w:r>
    </w:p>
    <w:p w14:paraId="072B685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sz w:val="32"/>
          <w:szCs w:val="32"/>
          <w:u w:val="none" w:color="auto"/>
        </w:rPr>
      </w:pPr>
      <w:r>
        <w:rPr>
          <w:rFonts w:hint="default" w:ascii="Times New Roman" w:hAnsi="Times New Roman" w:eastAsia="方正仿宋_GBK" w:cs="Times New Roman"/>
          <w:color w:val="000000"/>
          <w:sz w:val="32"/>
          <w:szCs w:val="32"/>
          <w:u w:val="none" w:color="auto"/>
        </w:rPr>
        <w:t>2.经同级公安机关认定属挂靠户口的；</w:t>
      </w:r>
    </w:p>
    <w:p w14:paraId="2DEBDC8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sz w:val="32"/>
          <w:szCs w:val="32"/>
          <w:u w:val="none" w:color="auto"/>
        </w:rPr>
      </w:pPr>
      <w:r>
        <w:rPr>
          <w:rFonts w:hint="default" w:ascii="Times New Roman" w:hAnsi="Times New Roman" w:eastAsia="方正仿宋_GBK" w:cs="Times New Roman"/>
          <w:color w:val="000000"/>
          <w:sz w:val="32"/>
          <w:szCs w:val="32"/>
          <w:u w:val="none" w:color="auto"/>
        </w:rPr>
        <w:t>3.本村民组集体经济组织成员已在本区域或其他区域征收时享受过集体土地相关安置政策的；</w:t>
      </w:r>
    </w:p>
    <w:p w14:paraId="7C7E96F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sz w:val="32"/>
          <w:szCs w:val="32"/>
          <w:u w:val="none" w:color="auto"/>
        </w:rPr>
      </w:pPr>
      <w:r>
        <w:rPr>
          <w:rFonts w:hint="default" w:ascii="Times New Roman" w:hAnsi="Times New Roman" w:eastAsia="方正仿宋_GBK" w:cs="Times New Roman"/>
          <w:color w:val="000000"/>
          <w:sz w:val="32"/>
          <w:szCs w:val="32"/>
          <w:u w:val="none" w:color="auto"/>
        </w:rPr>
        <w:t>4.法律法规及政策规定不应享受农村村民住宅补偿安置的其他人员。</w:t>
      </w:r>
    </w:p>
    <w:p w14:paraId="2A0424E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 xml:space="preserve">第十三条 </w:t>
      </w:r>
      <w:r>
        <w:rPr>
          <w:rFonts w:hint="default" w:ascii="Times New Roman" w:hAnsi="Times New Roman" w:eastAsia="方正仿宋_GBK" w:cs="Times New Roman"/>
          <w:sz w:val="32"/>
          <w:szCs w:val="32"/>
          <w:u w:val="none" w:color="auto"/>
        </w:rPr>
        <w:t xml:space="preserve"> 有效建筑面积的认定</w:t>
      </w:r>
    </w:p>
    <w:p w14:paraId="388DCB5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（一）被征收房屋的用途、性质和建筑面积依据被征收人合法登记的土地、房屋权属证书或经批准的宅基地审批表、房屋权属证明等有效文件记载为准，予以合理补偿安置。</w:t>
      </w:r>
    </w:p>
    <w:p w14:paraId="1371AE3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（二）无合法房屋权属证书或相关经批准有效文件需要认定有效建筑面积的，由市、县（区）人民政府相关部门结合本地区实际共同研究确定。</w:t>
      </w:r>
    </w:p>
    <w:p w14:paraId="78BFB74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（三）违法建筑原则上不予补偿安置，并由相关部门依法处置，如积极主动配合工作且在规定时间内主动拆除违法建筑的，可给予奖励性补偿。奖励性补偿标准和违法建筑情形由市、县（区）人民政府确定。</w:t>
      </w:r>
    </w:p>
    <w:p w14:paraId="174D645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 xml:space="preserve">第十四条 </w:t>
      </w:r>
      <w:r>
        <w:rPr>
          <w:rFonts w:hint="default" w:ascii="Times New Roman" w:hAnsi="Times New Roman" w:eastAsia="方正仿宋_GBK" w:cs="Times New Roman"/>
          <w:color w:val="FF0000"/>
          <w:sz w:val="32"/>
          <w:szCs w:val="32"/>
          <w:u w:val="none" w:color="auto"/>
        </w:rPr>
        <w:t xml:space="preserve"> </w:t>
      </w:r>
      <w:r>
        <w:rPr>
          <w:rFonts w:hint="default" w:ascii="Times New Roman" w:hAnsi="Times New Roman" w:eastAsia="方正仿宋_GBK" w:cs="Times New Roman"/>
          <w:sz w:val="32"/>
          <w:szCs w:val="32"/>
          <w:u w:val="none" w:color="auto"/>
        </w:rPr>
        <w:t>征收土地涉及农村村民住宅的，应当尊重被征收人意愿，采取提供安置房、货币补偿或者重新安排宅基地安置等方式给予公平合理的补偿，并对因征收造成的搬迁、临时安置等费用予以补偿。根据各县（区）国土空间总体规划，在城市规划区外，主要采取迁建安置方式，重新安排宅基地建房；在城市规划区内，不安排宅基地建房，采取货币或提供安置房安置的方式，由被征收人自行选择货币化安置或政府提供的安置房。具体安置方式由市、县（区）人民政府</w:t>
      </w:r>
      <w:r>
        <w:rPr>
          <w:rFonts w:hint="eastAsia" w:ascii="Times New Roman" w:hAnsi="Times New Roman" w:eastAsia="方正仿宋_GBK" w:cs="Times New Roman"/>
          <w:sz w:val="32"/>
          <w:szCs w:val="32"/>
          <w:u w:val="none" w:color="auto"/>
          <w:lang w:eastAsia="zh-CN"/>
        </w:rPr>
        <w:t>结合实际</w:t>
      </w:r>
      <w:r>
        <w:rPr>
          <w:rFonts w:hint="default" w:ascii="Times New Roman" w:hAnsi="Times New Roman" w:eastAsia="方正仿宋_GBK" w:cs="Times New Roman"/>
          <w:sz w:val="32"/>
          <w:szCs w:val="32"/>
          <w:u w:val="none" w:color="auto"/>
        </w:rPr>
        <w:t>制定实施。</w:t>
      </w:r>
    </w:p>
    <w:p w14:paraId="62F31D6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b w:val="0"/>
          <w:bCs/>
          <w:sz w:val="32"/>
          <w:szCs w:val="32"/>
          <w:highlight w:val="none"/>
          <w:u w:val="none" w:color="auto"/>
        </w:rPr>
      </w:pPr>
      <w:r>
        <w:rPr>
          <w:rFonts w:hint="default" w:ascii="Times New Roman" w:hAnsi="Times New Roman" w:eastAsia="方正仿宋_GBK" w:cs="Times New Roman"/>
          <w:b w:val="0"/>
          <w:bCs/>
          <w:sz w:val="32"/>
          <w:szCs w:val="32"/>
          <w:highlight w:val="none"/>
          <w:u w:val="none" w:color="auto"/>
        </w:rPr>
        <w:t>在国家提倡一对夫妻生育一个子女</w:t>
      </w:r>
      <w:r>
        <w:rPr>
          <w:rFonts w:hint="default" w:ascii="Times New Roman" w:hAnsi="Times New Roman" w:eastAsia="方正仿宋_GBK" w:cs="Times New Roman"/>
          <w:b w:val="0"/>
          <w:bCs/>
          <w:sz w:val="32"/>
          <w:szCs w:val="32"/>
          <w:highlight w:val="none"/>
          <w:u w:val="none" w:color="auto"/>
          <w:lang w:val="en-US" w:eastAsia="zh-CN"/>
        </w:rPr>
        <w:t>政策</w:t>
      </w:r>
      <w:r>
        <w:rPr>
          <w:rFonts w:hint="default" w:ascii="Times New Roman" w:hAnsi="Times New Roman" w:eastAsia="方正仿宋_GBK" w:cs="Times New Roman"/>
          <w:b w:val="0"/>
          <w:bCs/>
          <w:sz w:val="32"/>
          <w:szCs w:val="32"/>
          <w:highlight w:val="none"/>
          <w:u w:val="none" w:color="auto"/>
        </w:rPr>
        <w:t>期间</w:t>
      </w:r>
      <w:r>
        <w:rPr>
          <w:rFonts w:hint="eastAsia" w:ascii="Times New Roman" w:hAnsi="Times New Roman" w:eastAsia="方正仿宋_GBK" w:cs="Times New Roman"/>
          <w:b w:val="0"/>
          <w:bCs/>
          <w:sz w:val="32"/>
          <w:szCs w:val="32"/>
          <w:highlight w:val="none"/>
          <w:u w:val="none" w:color="auto"/>
          <w:lang w:eastAsia="zh-CN"/>
        </w:rPr>
        <w:t>的</w:t>
      </w:r>
      <w:r>
        <w:rPr>
          <w:rFonts w:hint="default" w:ascii="Times New Roman" w:hAnsi="Times New Roman" w:eastAsia="方正仿宋_GBK" w:cs="Times New Roman"/>
          <w:b w:val="0"/>
          <w:bCs/>
          <w:sz w:val="32"/>
          <w:szCs w:val="32"/>
          <w:highlight w:val="none"/>
          <w:u w:val="none" w:color="auto"/>
        </w:rPr>
        <w:t>独生子女</w:t>
      </w:r>
      <w:r>
        <w:rPr>
          <w:rFonts w:hint="eastAsia" w:ascii="Times New Roman" w:hAnsi="Times New Roman" w:eastAsia="方正仿宋_GBK" w:cs="Times New Roman"/>
          <w:b w:val="0"/>
          <w:bCs/>
          <w:sz w:val="32"/>
          <w:szCs w:val="32"/>
          <w:highlight w:val="none"/>
          <w:u w:val="none" w:color="auto"/>
          <w:lang w:eastAsia="zh-CN"/>
        </w:rPr>
        <w:t>安置人员</w:t>
      </w:r>
      <w:r>
        <w:rPr>
          <w:rFonts w:hint="default" w:ascii="Times New Roman" w:hAnsi="Times New Roman" w:eastAsia="方正仿宋_GBK" w:cs="Times New Roman"/>
          <w:b w:val="0"/>
          <w:bCs/>
          <w:sz w:val="32"/>
          <w:szCs w:val="32"/>
          <w:highlight w:val="none"/>
          <w:u w:val="none" w:color="auto"/>
        </w:rPr>
        <w:t>，住宅补偿安置时予以照顾。</w:t>
      </w:r>
    </w:p>
    <w:p w14:paraId="482A111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 xml:space="preserve">第十五条 </w:t>
      </w:r>
      <w:r>
        <w:rPr>
          <w:rFonts w:hint="default" w:ascii="Times New Roman" w:hAnsi="Times New Roman" w:eastAsia="方正仿宋_GBK" w:cs="Times New Roman"/>
          <w:sz w:val="32"/>
          <w:szCs w:val="32"/>
          <w:u w:val="none" w:color="auto"/>
        </w:rPr>
        <w:t xml:space="preserve"> 采取货币或提供安置房安置方式的，安置人口享有人均不低于40m</w:t>
      </w:r>
      <w:r>
        <w:rPr>
          <w:rFonts w:hint="default" w:ascii="Times New Roman" w:hAnsi="Times New Roman" w:eastAsia="方正仿宋_GBK" w:cs="Times New Roman"/>
          <w:sz w:val="32"/>
          <w:szCs w:val="32"/>
          <w:u w:val="none" w:color="auto"/>
          <w:vertAlign w:val="superscript"/>
        </w:rPr>
        <w:t>2</w:t>
      </w:r>
      <w:r>
        <w:rPr>
          <w:rFonts w:hint="default" w:ascii="Times New Roman" w:hAnsi="Times New Roman" w:eastAsia="方正仿宋_GBK" w:cs="Times New Roman"/>
          <w:sz w:val="32"/>
          <w:szCs w:val="32"/>
          <w:u w:val="none" w:color="auto"/>
        </w:rPr>
        <w:t>基本住房建筑面积的权益。被征收人实际人均有效建筑面积大于人均基本住房权益面积的，大于部分按照重置价</w:t>
      </w:r>
      <w:r>
        <w:rPr>
          <w:rFonts w:hint="eastAsia" w:ascii="Times New Roman" w:hAnsi="Times New Roman" w:eastAsia="方正仿宋_GBK" w:cs="Times New Roman"/>
          <w:sz w:val="32"/>
          <w:szCs w:val="32"/>
          <w:u w:val="none" w:color="auto"/>
          <w:lang w:eastAsia="zh-CN"/>
        </w:rPr>
        <w:t>（详见附件</w:t>
      </w:r>
      <w:r>
        <w:rPr>
          <w:rFonts w:hint="eastAsia" w:ascii="Times New Roman" w:hAnsi="Times New Roman" w:eastAsia="方正仿宋_GBK" w:cs="Times New Roman"/>
          <w:sz w:val="32"/>
          <w:szCs w:val="32"/>
          <w:u w:val="none" w:color="auto"/>
          <w:lang w:val="en-US" w:eastAsia="zh-CN"/>
        </w:rPr>
        <w:t>1）</w:t>
      </w:r>
      <w:r>
        <w:rPr>
          <w:rFonts w:hint="default" w:ascii="Times New Roman" w:hAnsi="Times New Roman" w:eastAsia="方正仿宋_GBK" w:cs="Times New Roman"/>
          <w:sz w:val="32"/>
          <w:szCs w:val="32"/>
          <w:u w:val="none" w:color="auto"/>
        </w:rPr>
        <w:t>补偿</w:t>
      </w:r>
      <w:r>
        <w:rPr>
          <w:rFonts w:hint="default" w:ascii="Times New Roman" w:hAnsi="Times New Roman" w:eastAsia="方正仿宋_GBK" w:cs="Times New Roman"/>
          <w:b w:val="0"/>
          <w:bCs/>
          <w:sz w:val="32"/>
          <w:szCs w:val="32"/>
          <w:highlight w:val="none"/>
          <w:u w:val="none" w:color="auto"/>
        </w:rPr>
        <w:t>；被征收人实际人均有效建筑面积小于人</w:t>
      </w:r>
      <w:r>
        <w:rPr>
          <w:rFonts w:hint="default" w:ascii="Times New Roman" w:hAnsi="Times New Roman" w:eastAsia="方正仿宋_GBK" w:cs="Times New Roman"/>
          <w:sz w:val="32"/>
          <w:szCs w:val="32"/>
          <w:u w:val="none" w:color="auto"/>
        </w:rPr>
        <w:t>均基本住房权益面积的，市、县（区）人民政府应制定实施细则，保障被征收人基本住房建筑面积权益。</w:t>
      </w:r>
    </w:p>
    <w:p w14:paraId="147415D5">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 xml:space="preserve">第十六条 </w:t>
      </w:r>
      <w:r>
        <w:rPr>
          <w:rFonts w:hint="default" w:ascii="Times New Roman" w:hAnsi="Times New Roman" w:eastAsia="方正仿宋_GBK" w:cs="Times New Roman"/>
          <w:sz w:val="32"/>
          <w:szCs w:val="32"/>
          <w:u w:val="none" w:color="auto"/>
        </w:rPr>
        <w:t xml:space="preserve"> 货币补偿安置</w:t>
      </w:r>
    </w:p>
    <w:p w14:paraId="68C431F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（一）被征收人选择货币补偿安置方式的，乡镇人民政府（街道办事处）</w:t>
      </w:r>
      <w:r>
        <w:rPr>
          <w:rFonts w:hint="default" w:ascii="Times New Roman" w:hAnsi="Times New Roman" w:eastAsia="方正仿宋_GBK" w:cs="Times New Roman"/>
          <w:sz w:val="32"/>
          <w:szCs w:val="32"/>
          <w:u w:val="none" w:color="auto"/>
          <w:lang w:eastAsia="zh-CN"/>
        </w:rPr>
        <w:t>或者亳州高新区管委会</w:t>
      </w:r>
      <w:r>
        <w:rPr>
          <w:rFonts w:hint="default" w:ascii="Times New Roman" w:hAnsi="Times New Roman" w:eastAsia="方正仿宋_GBK" w:cs="Times New Roman"/>
          <w:sz w:val="32"/>
          <w:szCs w:val="32"/>
          <w:u w:val="none" w:color="auto"/>
        </w:rPr>
        <w:t>等土地征收实施机构以户为单位，按人均基本住房建筑面积核算安置人口应享有的货币补偿面积，根据被征收房屋同地段或相邻地段周边安置还原房市场价核算货币补偿总金额。</w:t>
      </w:r>
    </w:p>
    <w:p w14:paraId="40F4BBD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（二）为满足被征收人对房屋安置的多样化需求，征收实施机构对符合我市房票政策的应当告知，被征收人可以自愿选择房票安置。</w:t>
      </w:r>
    </w:p>
    <w:p w14:paraId="2602F2E5">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第十七条</w:t>
      </w:r>
      <w:r>
        <w:rPr>
          <w:rFonts w:hint="default" w:ascii="Times New Roman" w:hAnsi="Times New Roman" w:eastAsia="方正仿宋_GBK" w:cs="Times New Roman"/>
          <w:sz w:val="32"/>
          <w:szCs w:val="32"/>
          <w:u w:val="none" w:color="auto"/>
        </w:rPr>
        <w:t xml:space="preserve">  提供安置房安置</w:t>
      </w:r>
    </w:p>
    <w:p w14:paraId="6763B635">
      <w:pPr>
        <w:keepNext w:val="0"/>
        <w:keepLines w:val="0"/>
        <w:pageBreakBefore w:val="0"/>
        <w:widowControl w:val="0"/>
        <w:kinsoku/>
        <w:wordWrap/>
        <w:overflowPunct/>
        <w:topLinePunct w:val="0"/>
        <w:autoSpaceDE/>
        <w:autoSpaceDN/>
        <w:bidi w:val="0"/>
        <w:adjustRightInd/>
        <w:snapToGrid/>
        <w:spacing w:line="590" w:lineRule="exact"/>
        <w:ind w:firstLine="56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一）被征收人选择安置房的，以家庭（户）为单位。被征收人按应享有的人均安置面积选择最接近安置还原房户型，原则上一户一套（符合分户条件的应当按分户安置）。分户条件由市、县（区）人民政府自行制定。</w:t>
      </w:r>
    </w:p>
    <w:p w14:paraId="3CBF4C9A">
      <w:pPr>
        <w:keepNext w:val="0"/>
        <w:keepLines w:val="0"/>
        <w:pageBreakBefore w:val="0"/>
        <w:widowControl w:val="0"/>
        <w:kinsoku/>
        <w:wordWrap/>
        <w:overflowPunct/>
        <w:topLinePunct w:val="0"/>
        <w:autoSpaceDE/>
        <w:autoSpaceDN/>
        <w:bidi w:val="0"/>
        <w:adjustRightInd/>
        <w:snapToGrid/>
        <w:spacing w:line="590" w:lineRule="exact"/>
        <w:ind w:firstLine="56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（二）对于被征收人按应享有的人均安置面积选择最接近安置房户型的建筑面积与应安置面积有差值的，差值部分按照被征收房屋同地段或相邻地段周边安置还原房市场价进行相互找补。</w:t>
      </w:r>
    </w:p>
    <w:p w14:paraId="0C879D5D">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sz w:val="32"/>
          <w:szCs w:val="32"/>
          <w:u w:val="none" w:color="auto"/>
        </w:rPr>
        <w:t>（三）安置房安置具体实施细则由市、县（区）人民政府制定。</w:t>
      </w:r>
    </w:p>
    <w:p w14:paraId="75ADE3F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 xml:space="preserve">第十八条 </w:t>
      </w:r>
      <w:r>
        <w:rPr>
          <w:rFonts w:hint="default" w:ascii="Times New Roman" w:hAnsi="Times New Roman" w:eastAsia="方正仿宋_GBK" w:cs="Times New Roman"/>
          <w:sz w:val="32"/>
          <w:szCs w:val="32"/>
          <w:u w:val="none" w:color="auto"/>
        </w:rPr>
        <w:t xml:space="preserve"> 重新安排宅基地安置</w:t>
      </w:r>
    </w:p>
    <w:p w14:paraId="1F449D5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b w:val="0"/>
          <w:bCs w:val="0"/>
          <w:sz w:val="32"/>
          <w:szCs w:val="32"/>
          <w:highlight w:val="none"/>
          <w:u w:val="none" w:color="auto"/>
        </w:rPr>
      </w:pPr>
      <w:r>
        <w:rPr>
          <w:rFonts w:hint="default" w:ascii="Times New Roman" w:hAnsi="Times New Roman" w:eastAsia="方正仿宋_GBK" w:cs="Times New Roman"/>
          <w:sz w:val="32"/>
          <w:szCs w:val="32"/>
          <w:u w:val="none" w:color="auto"/>
        </w:rPr>
        <w:t>（一）农村村民住宅房屋征收采取重新安排宅基</w:t>
      </w:r>
      <w:r>
        <w:rPr>
          <w:rFonts w:hint="default" w:ascii="Times New Roman" w:hAnsi="Times New Roman" w:eastAsia="方正仿宋_GBK" w:cs="Times New Roman"/>
          <w:b w:val="0"/>
          <w:bCs w:val="0"/>
          <w:sz w:val="32"/>
          <w:szCs w:val="32"/>
          <w:highlight w:val="none"/>
          <w:u w:val="none" w:color="auto"/>
        </w:rPr>
        <w:t>地建房的，</w:t>
      </w:r>
      <w:r>
        <w:rPr>
          <w:rFonts w:hint="eastAsia" w:ascii="Times New Roman" w:hAnsi="Times New Roman" w:eastAsia="方正仿宋_GBK" w:cs="Times New Roman"/>
          <w:b w:val="0"/>
          <w:bCs w:val="0"/>
          <w:sz w:val="32"/>
          <w:szCs w:val="32"/>
          <w:highlight w:val="none"/>
          <w:u w:val="none" w:color="auto"/>
          <w:lang w:eastAsia="zh-CN"/>
        </w:rPr>
        <w:t>原</w:t>
      </w:r>
      <w:r>
        <w:rPr>
          <w:rFonts w:hint="default" w:ascii="Times New Roman" w:hAnsi="Times New Roman" w:eastAsia="方正仿宋_GBK" w:cs="Times New Roman"/>
          <w:b w:val="0"/>
          <w:bCs w:val="0"/>
          <w:sz w:val="32"/>
          <w:szCs w:val="32"/>
          <w:highlight w:val="none"/>
          <w:u w:val="none" w:color="auto"/>
        </w:rPr>
        <w:t>住宅房屋应当按照市人民政府公布的装修装饰价格标准</w:t>
      </w:r>
      <w:r>
        <w:rPr>
          <w:rFonts w:hint="eastAsia" w:ascii="Times New Roman" w:hAnsi="Times New Roman" w:eastAsia="方正仿宋_GBK" w:cs="Times New Roman"/>
          <w:b w:val="0"/>
          <w:bCs w:val="0"/>
          <w:sz w:val="32"/>
          <w:szCs w:val="32"/>
          <w:highlight w:val="none"/>
          <w:u w:val="none" w:color="auto"/>
          <w:lang w:eastAsia="zh-CN"/>
        </w:rPr>
        <w:t>（详见附件</w:t>
      </w:r>
      <w:r>
        <w:rPr>
          <w:rFonts w:hint="eastAsia" w:ascii="Times New Roman" w:hAnsi="Times New Roman" w:eastAsia="方正仿宋_GBK" w:cs="Times New Roman"/>
          <w:b w:val="0"/>
          <w:bCs w:val="0"/>
          <w:sz w:val="32"/>
          <w:szCs w:val="32"/>
          <w:highlight w:val="none"/>
          <w:u w:val="none" w:color="auto"/>
          <w:lang w:val="en-US" w:eastAsia="zh-CN"/>
        </w:rPr>
        <w:t>2）</w:t>
      </w:r>
      <w:r>
        <w:rPr>
          <w:rFonts w:hint="default" w:ascii="Times New Roman" w:hAnsi="Times New Roman" w:eastAsia="方正仿宋_GBK" w:cs="Times New Roman"/>
          <w:b w:val="0"/>
          <w:bCs w:val="0"/>
          <w:sz w:val="32"/>
          <w:szCs w:val="32"/>
          <w:highlight w:val="none"/>
          <w:u w:val="none" w:color="auto"/>
        </w:rPr>
        <w:t>评估</w:t>
      </w:r>
      <w:r>
        <w:rPr>
          <w:rFonts w:hint="eastAsia" w:ascii="Times New Roman" w:hAnsi="Times New Roman" w:eastAsia="方正仿宋_GBK" w:cs="Times New Roman"/>
          <w:b w:val="0"/>
          <w:bCs w:val="0"/>
          <w:sz w:val="32"/>
          <w:szCs w:val="32"/>
          <w:highlight w:val="none"/>
          <w:u w:val="none" w:color="auto"/>
          <w:lang w:eastAsia="zh-CN"/>
        </w:rPr>
        <w:t>其</w:t>
      </w:r>
      <w:r>
        <w:rPr>
          <w:rFonts w:hint="default" w:ascii="Times New Roman" w:hAnsi="Times New Roman" w:eastAsia="方正仿宋_GBK" w:cs="Times New Roman"/>
          <w:b w:val="0"/>
          <w:bCs w:val="0"/>
          <w:sz w:val="32"/>
          <w:szCs w:val="32"/>
          <w:highlight w:val="none"/>
          <w:u w:val="none" w:color="auto"/>
        </w:rPr>
        <w:t>价值给予货币补偿，并重新安排新宅基地。</w:t>
      </w:r>
    </w:p>
    <w:p w14:paraId="16B435B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Times New Roman" w:hAnsi="Times New Roman" w:eastAsia="方正仿宋_GBK" w:cs="Times New Roman"/>
          <w:b w:val="0"/>
          <w:bCs w:val="0"/>
          <w:sz w:val="32"/>
          <w:szCs w:val="32"/>
          <w:highlight w:val="none"/>
          <w:u w:val="none" w:color="auto"/>
        </w:rPr>
        <w:t>（二）重新安排宅基地建房的选址应当符合国土空间总体规划</w:t>
      </w:r>
      <w:r>
        <w:rPr>
          <w:rFonts w:hint="default" w:ascii="Times New Roman" w:hAnsi="Times New Roman" w:eastAsia="方正仿宋_GBK" w:cs="Times New Roman"/>
          <w:sz w:val="32"/>
          <w:szCs w:val="32"/>
          <w:u w:val="none" w:color="auto"/>
        </w:rPr>
        <w:t>和村庄规划，充分尊重村民意愿，坚持节约集约原则，注重盘活存量建设用地，科学选址，尽量使用原有宅基地、闲置宅基地和村内空闲地，禁止占用永久基本农田和生态保护红线。</w:t>
      </w:r>
    </w:p>
    <w:p w14:paraId="5BF8F9CA">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sz w:val="32"/>
          <w:szCs w:val="32"/>
          <w:u w:val="none" w:color="auto"/>
        </w:rPr>
      </w:pPr>
      <w:r>
        <w:rPr>
          <w:rFonts w:hint="default" w:ascii="Times New Roman" w:hAnsi="Times New Roman" w:eastAsia="方正仿宋_GBK" w:cs="Times New Roman"/>
          <w:sz w:val="32"/>
          <w:szCs w:val="32"/>
          <w:u w:val="none" w:color="auto"/>
        </w:rPr>
        <w:t>（三）选址涉及占用农用地的，由市、县（区）人民政府统一组织办理农用地转用审批并承担相关规费，同时应做好新宅基</w:t>
      </w:r>
      <w:r>
        <w:rPr>
          <w:rFonts w:hint="eastAsia" w:ascii="方正仿宋_GBK" w:hAnsi="方正仿宋_GBK" w:eastAsia="方正仿宋_GBK" w:cs="方正仿宋_GBK"/>
          <w:sz w:val="32"/>
          <w:szCs w:val="32"/>
          <w:u w:val="none" w:color="auto"/>
        </w:rPr>
        <w:t>地</w:t>
      </w:r>
      <w:r>
        <w:rPr>
          <w:rFonts w:hint="eastAsia" w:ascii="方正仿宋_GBK" w:hAnsi="方正仿宋_GBK" w:eastAsia="方正仿宋_GBK" w:cs="方正仿宋_GBK"/>
          <w:sz w:val="32"/>
          <w:szCs w:val="32"/>
          <w:u w:val="none" w:color="auto"/>
          <w:lang w:eastAsia="zh-CN"/>
        </w:rPr>
        <w:t>的“</w:t>
      </w:r>
      <w:r>
        <w:rPr>
          <w:rFonts w:hint="eastAsia" w:ascii="方正仿宋_GBK" w:hAnsi="方正仿宋_GBK" w:eastAsia="方正仿宋_GBK" w:cs="方正仿宋_GBK"/>
          <w:sz w:val="32"/>
          <w:szCs w:val="32"/>
          <w:u w:val="none" w:color="auto"/>
        </w:rPr>
        <w:t>三通一平”（通路、通水、通电和场地平整）。</w:t>
      </w:r>
    </w:p>
    <w:p w14:paraId="6864CD52">
      <w:pPr>
        <w:pStyle w:val="12"/>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方正小标宋简体" w:hAnsi="方正小标宋简体" w:eastAsia="方正小标宋简体" w:cs="方正小标宋简体"/>
          <w:sz w:val="32"/>
          <w:szCs w:val="32"/>
          <w:u w:val="none" w:color="auto"/>
        </w:rPr>
      </w:pPr>
    </w:p>
    <w:p w14:paraId="36DC0B01">
      <w:pPr>
        <w:pStyle w:val="12"/>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default" w:ascii="方正小标宋简体" w:hAnsi="方正小标宋简体" w:eastAsia="方正小标宋简体" w:cs="方正小标宋简体"/>
          <w:sz w:val="32"/>
          <w:szCs w:val="32"/>
          <w:u w:val="none" w:color="auto"/>
        </w:rPr>
      </w:pPr>
      <w:r>
        <w:rPr>
          <w:rFonts w:hint="default" w:ascii="方正小标宋简体" w:hAnsi="方正小标宋简体" w:eastAsia="方正小标宋简体" w:cs="方正小标宋简体"/>
          <w:sz w:val="32"/>
          <w:szCs w:val="32"/>
          <w:u w:val="none" w:color="auto"/>
        </w:rPr>
        <w:t>第四章  附则</w:t>
      </w:r>
    </w:p>
    <w:p w14:paraId="0BA631D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第十九条</w:t>
      </w:r>
      <w:r>
        <w:rPr>
          <w:rFonts w:hint="default" w:ascii="Times New Roman" w:hAnsi="Times New Roman" w:eastAsia="方正仿宋_GBK" w:cs="Times New Roman"/>
          <w:sz w:val="32"/>
          <w:szCs w:val="32"/>
          <w:u w:val="none" w:color="auto"/>
        </w:rPr>
        <w:t xml:space="preserve">  交通、水利或其他重点建设项目，国家、省对农村村民住宅征收补偿安置另有规定的，从其规定。</w:t>
      </w:r>
    </w:p>
    <w:p w14:paraId="420D06A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u w:val="none" w:color="auto"/>
        </w:rPr>
      </w:pPr>
      <w:r>
        <w:rPr>
          <w:rFonts w:hint="default" w:ascii="方正黑体_GBK" w:hAnsi="方正黑体_GBK" w:eastAsia="方正黑体_GBK" w:cs="方正黑体_GBK"/>
          <w:sz w:val="32"/>
          <w:szCs w:val="32"/>
          <w:u w:val="none" w:color="auto"/>
        </w:rPr>
        <w:t xml:space="preserve">第二十条 </w:t>
      </w:r>
      <w:r>
        <w:rPr>
          <w:rFonts w:hint="default" w:ascii="Times New Roman" w:hAnsi="Times New Roman" w:eastAsia="方正仿宋_GBK" w:cs="Times New Roman"/>
          <w:b w:val="0"/>
          <w:bCs w:val="0"/>
          <w:sz w:val="32"/>
          <w:szCs w:val="32"/>
          <w:highlight w:val="none"/>
          <w:u w:val="none" w:color="auto"/>
        </w:rPr>
        <w:t xml:space="preserve"> 本办法自公布之日起施行。本</w:t>
      </w:r>
      <w:r>
        <w:rPr>
          <w:rFonts w:hint="default" w:ascii="Times New Roman" w:hAnsi="Times New Roman" w:eastAsia="方正仿宋_GBK" w:cs="Times New Roman"/>
          <w:sz w:val="32"/>
          <w:szCs w:val="32"/>
          <w:u w:val="none" w:color="auto"/>
        </w:rPr>
        <w:t>办法施行前，已实施但未完成的农村村民住宅拆迁补偿安置工作，按原有规定和标准执行；本办法施行后，如国家、省对农村村民住宅征收补偿安置发布新规定和新标准的，按新规定和新标准执行。</w:t>
      </w:r>
    </w:p>
    <w:p w14:paraId="09CB2899">
      <w:pPr>
        <w:rPr>
          <w:rFonts w:hint="eastAsia"/>
          <w:lang w:eastAsia="zh-CN"/>
        </w:rPr>
      </w:pPr>
      <w:r>
        <w:rPr>
          <w:rFonts w:hint="default" w:ascii="方正黑体_GBK" w:hAnsi="方正黑体_GBK" w:eastAsia="方正黑体_GBK" w:cs="方正黑体_GBK"/>
          <w:sz w:val="32"/>
          <w:szCs w:val="32"/>
          <w:u w:val="none" w:color="auto"/>
        </w:rPr>
        <w:t>第二十一条</w:t>
      </w:r>
      <w:r>
        <w:rPr>
          <w:rFonts w:hint="default" w:ascii="Times New Roman" w:hAnsi="Times New Roman" w:eastAsia="方正仿宋_GBK" w:cs="Times New Roman"/>
          <w:sz w:val="32"/>
          <w:szCs w:val="32"/>
          <w:u w:val="none" w:color="auto"/>
        </w:rPr>
        <w:t xml:space="preserve">  本办法未尽事宜，</w:t>
      </w:r>
      <w:r>
        <w:rPr>
          <w:rFonts w:hint="eastAsia" w:ascii="Times New Roman" w:hAnsi="Times New Roman" w:eastAsia="方正仿宋_GBK" w:cs="Times New Roman"/>
          <w:sz w:val="32"/>
          <w:szCs w:val="32"/>
          <w:u w:val="none" w:color="auto"/>
          <w:lang w:val="en-US" w:eastAsia="zh-CN"/>
        </w:rPr>
        <w:t>各县（区）人民政府</w:t>
      </w:r>
      <w:r>
        <w:rPr>
          <w:rFonts w:hint="default" w:ascii="Times New Roman" w:hAnsi="Times New Roman" w:eastAsia="方正仿宋_GBK" w:cs="Times New Roman"/>
          <w:sz w:val="32"/>
          <w:szCs w:val="32"/>
          <w:u w:val="none" w:color="auto"/>
        </w:rPr>
        <w:t>按</w:t>
      </w:r>
      <w:r>
        <w:rPr>
          <w:rFonts w:hint="eastAsia" w:ascii="Times New Roman" w:hAnsi="Times New Roman" w:eastAsia="方正仿宋_GBK" w:cs="Times New Roman"/>
          <w:sz w:val="32"/>
          <w:szCs w:val="32"/>
          <w:u w:val="none" w:color="auto"/>
          <w:lang w:val="en-US" w:eastAsia="zh-CN"/>
        </w:rPr>
        <w:t>照</w:t>
      </w:r>
      <w:r>
        <w:rPr>
          <w:rFonts w:hint="default" w:ascii="Times New Roman" w:hAnsi="Times New Roman" w:eastAsia="方正仿宋_GBK" w:cs="Times New Roman"/>
          <w:sz w:val="32"/>
          <w:szCs w:val="32"/>
          <w:u w:val="none" w:color="auto"/>
        </w:rPr>
        <w:t>相关政策规定和程序</w:t>
      </w:r>
      <w:r>
        <w:rPr>
          <w:rFonts w:hint="eastAsia" w:ascii="Times New Roman" w:hAnsi="Times New Roman" w:eastAsia="方正仿宋_GBK" w:cs="Times New Roman"/>
          <w:sz w:val="32"/>
          <w:szCs w:val="32"/>
          <w:u w:val="none" w:color="auto"/>
          <w:lang w:eastAsia="zh-CN"/>
        </w:rPr>
        <w:t>，</w:t>
      </w:r>
      <w:r>
        <w:rPr>
          <w:rFonts w:hint="eastAsia" w:ascii="Times New Roman" w:hAnsi="Times New Roman" w:eastAsia="方正仿宋_GBK" w:cs="Times New Roman"/>
          <w:sz w:val="32"/>
          <w:szCs w:val="32"/>
          <w:u w:val="none" w:color="auto"/>
          <w:lang w:val="en-US" w:eastAsia="zh-CN"/>
        </w:rPr>
        <w:t>结合实际制定实施细则</w:t>
      </w:r>
      <w:r>
        <w:rPr>
          <w:rFonts w:hint="default" w:ascii="Times New Roman" w:hAnsi="Times New Roman" w:eastAsia="方正仿宋_GBK" w:cs="Times New Roman"/>
          <w:sz w:val="32"/>
          <w:szCs w:val="32"/>
          <w:u w:val="none" w:color="auto"/>
        </w:rPr>
        <w:t>。</w:t>
      </w:r>
    </w:p>
    <w:p w14:paraId="158E3A72">
      <w:pPr>
        <w:rPr>
          <w:rFonts w:hint="default" w:ascii="Times New Roman" w:hAnsi="Times New Roman" w:eastAsia="方正仿宋_GBK" w:cs="Times New Roman"/>
          <w:sz w:val="32"/>
          <w:szCs w:val="32"/>
        </w:rPr>
      </w:pPr>
    </w:p>
    <w:p w14:paraId="365ADBDD">
      <w:pPr>
        <w:pStyle w:val="2"/>
        <w:rPr>
          <w:rFonts w:hint="default" w:ascii="Times New Roman" w:hAnsi="Times New Roman" w:eastAsia="方正仿宋_GBK" w:cs="Times New Roman"/>
          <w:sz w:val="32"/>
          <w:szCs w:val="32"/>
        </w:rPr>
      </w:pPr>
    </w:p>
    <w:p w14:paraId="51C51323">
      <w:pPr>
        <w:rPr>
          <w:rFonts w:hint="default" w:ascii="Times New Roman" w:hAnsi="Times New Roman" w:eastAsia="方正仿宋_GBK" w:cs="Times New Roman"/>
          <w:sz w:val="32"/>
          <w:szCs w:val="32"/>
        </w:rPr>
      </w:pPr>
    </w:p>
    <w:p w14:paraId="52806CB7">
      <w:pPr>
        <w:pStyle w:val="2"/>
        <w:rPr>
          <w:rFonts w:hint="default" w:ascii="Times New Roman" w:hAnsi="Times New Roman" w:eastAsia="方正仿宋_GBK" w:cs="Times New Roman"/>
          <w:sz w:val="32"/>
          <w:szCs w:val="32"/>
        </w:rPr>
      </w:pPr>
    </w:p>
    <w:p w14:paraId="5B72EA80">
      <w:pPr>
        <w:rPr>
          <w:rFonts w:hint="default"/>
        </w:rPr>
      </w:pPr>
    </w:p>
    <w:p w14:paraId="474ED65A">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default" w:ascii="Times New Roman" w:hAnsi="Times New Roman" w:eastAsia="方正仿宋_GBK" w:cs="Times New Roman"/>
          <w:sz w:val="32"/>
          <w:szCs w:val="32"/>
        </w:rPr>
      </w:pPr>
    </w:p>
    <w:p w14:paraId="6153BA4A">
      <w:pPr>
        <w:pStyle w:val="7"/>
        <w:keepNext w:val="0"/>
        <w:keepLines w:val="0"/>
        <w:pageBreakBefore w:val="0"/>
        <w:widowControl/>
        <w:kinsoku/>
        <w:wordWrap/>
        <w:overflowPunct/>
        <w:topLinePunct w:val="0"/>
        <w:autoSpaceDN/>
        <w:bidi w:val="0"/>
        <w:spacing w:line="590" w:lineRule="exact"/>
        <w:rPr>
          <w:rFonts w:hint="eastAsia" w:ascii="黑体" w:hAnsi="黑体" w:eastAsia="黑体" w:cs="黑体"/>
          <w:color w:val="000000"/>
          <w:sz w:val="32"/>
          <w:szCs w:val="32"/>
          <w:highlight w:val="none"/>
          <w:shd w:val="clear" w:color="auto" w:fill="FFFFFF"/>
          <w:lang w:val="en-US" w:eastAsia="zh-CN"/>
        </w:rPr>
      </w:pPr>
    </w:p>
    <w:p w14:paraId="7C631498">
      <w:pPr>
        <w:pStyle w:val="7"/>
        <w:keepNext w:val="0"/>
        <w:keepLines w:val="0"/>
        <w:pageBreakBefore w:val="0"/>
        <w:widowControl/>
        <w:kinsoku/>
        <w:wordWrap/>
        <w:overflowPunct/>
        <w:topLinePunct w:val="0"/>
        <w:autoSpaceDN/>
        <w:bidi w:val="0"/>
        <w:spacing w:line="590" w:lineRule="exact"/>
        <w:rPr>
          <w:rFonts w:hint="eastAsia" w:ascii="黑体" w:hAnsi="黑体" w:eastAsia="黑体" w:cs="黑体"/>
          <w:color w:val="000000"/>
          <w:sz w:val="32"/>
          <w:szCs w:val="32"/>
          <w:highlight w:val="none"/>
          <w:shd w:val="clear" w:color="auto" w:fill="FFFFFF"/>
          <w:lang w:val="en-US" w:eastAsia="zh-CN"/>
        </w:rPr>
      </w:pPr>
    </w:p>
    <w:p w14:paraId="43A55797">
      <w:pPr>
        <w:pStyle w:val="7"/>
        <w:keepNext w:val="0"/>
        <w:keepLines w:val="0"/>
        <w:pageBreakBefore w:val="0"/>
        <w:widowControl/>
        <w:kinsoku/>
        <w:wordWrap/>
        <w:overflowPunct/>
        <w:topLinePunct w:val="0"/>
        <w:autoSpaceDN/>
        <w:bidi w:val="0"/>
        <w:spacing w:line="590" w:lineRule="exact"/>
        <w:rPr>
          <w:rFonts w:hint="eastAsia" w:ascii="黑体" w:hAnsi="黑体" w:eastAsia="黑体" w:cs="黑体"/>
          <w:color w:val="000000"/>
          <w:sz w:val="32"/>
          <w:szCs w:val="32"/>
          <w:highlight w:val="none"/>
          <w:shd w:val="clear" w:color="auto" w:fill="FFFFFF"/>
          <w:lang w:val="en-US" w:eastAsia="zh-CN"/>
        </w:rPr>
      </w:pPr>
    </w:p>
    <w:p w14:paraId="0CE180D4">
      <w:pPr>
        <w:pStyle w:val="7"/>
        <w:keepNext w:val="0"/>
        <w:keepLines w:val="0"/>
        <w:pageBreakBefore w:val="0"/>
        <w:widowControl/>
        <w:kinsoku/>
        <w:wordWrap/>
        <w:overflowPunct/>
        <w:topLinePunct w:val="0"/>
        <w:autoSpaceDN/>
        <w:bidi w:val="0"/>
        <w:spacing w:line="590" w:lineRule="exact"/>
        <w:rPr>
          <w:rFonts w:hint="eastAsia" w:ascii="黑体" w:hAnsi="黑体" w:eastAsia="黑体" w:cs="黑体"/>
          <w:color w:val="000000"/>
          <w:sz w:val="32"/>
          <w:szCs w:val="32"/>
          <w:highlight w:val="none"/>
          <w:shd w:val="clear" w:color="auto" w:fill="FFFFFF"/>
          <w:lang w:val="en-US" w:eastAsia="zh-CN"/>
        </w:rPr>
      </w:pPr>
    </w:p>
    <w:p w14:paraId="5A35DC49">
      <w:pPr>
        <w:pStyle w:val="7"/>
        <w:keepNext w:val="0"/>
        <w:keepLines w:val="0"/>
        <w:pageBreakBefore w:val="0"/>
        <w:widowControl/>
        <w:kinsoku/>
        <w:wordWrap/>
        <w:overflowPunct/>
        <w:topLinePunct w:val="0"/>
        <w:autoSpaceDN/>
        <w:bidi w:val="0"/>
        <w:spacing w:line="590" w:lineRule="exact"/>
        <w:rPr>
          <w:rFonts w:hint="eastAsia" w:ascii="黑体" w:hAnsi="黑体" w:eastAsia="黑体" w:cs="黑体"/>
          <w:color w:val="000000"/>
          <w:sz w:val="32"/>
          <w:szCs w:val="32"/>
          <w:highlight w:val="none"/>
          <w:shd w:val="clear" w:color="auto" w:fill="FFFFFF"/>
          <w:lang w:val="en-US" w:eastAsia="zh-CN"/>
        </w:rPr>
      </w:pPr>
    </w:p>
    <w:p w14:paraId="408A9B5C">
      <w:pPr>
        <w:keepNext w:val="0"/>
        <w:keepLines w:val="0"/>
        <w:pageBreakBefore w:val="0"/>
        <w:widowControl w:val="0"/>
        <w:kinsoku/>
        <w:wordWrap/>
        <w:overflowPunct/>
        <w:topLinePunct w:val="0"/>
        <w:autoSpaceDE/>
        <w:autoSpaceDN/>
        <w:bidi w:val="0"/>
        <w:adjustRightInd/>
        <w:snapToGrid/>
        <w:spacing w:line="590" w:lineRule="exact"/>
        <w:textAlignment w:val="auto"/>
        <w:outlineLvl w:val="0"/>
        <w:rPr>
          <w:rFonts w:hint="default" w:ascii="Times New Roman" w:hAnsi="Times New Roman" w:eastAsia="方正黑体_GBK" w:cs="Times New Roman"/>
          <w:spacing w:val="5"/>
          <w:sz w:val="32"/>
          <w:szCs w:val="32"/>
          <w:u w:val="none" w:color="auto"/>
          <w:lang w:val="en-US" w:eastAsia="zh-CN"/>
        </w:rPr>
      </w:pPr>
      <w:r>
        <w:rPr>
          <w:rFonts w:hint="eastAsia" w:ascii="Times New Roman" w:hAnsi="Times New Roman" w:eastAsia="方正黑体_GBK" w:cs="Times New Roman"/>
          <w:spacing w:val="5"/>
          <w:sz w:val="32"/>
          <w:szCs w:val="32"/>
          <w:u w:val="none" w:color="auto"/>
          <w:lang w:eastAsia="zh-CN"/>
        </w:rPr>
        <w:t>附件</w:t>
      </w:r>
      <w:r>
        <w:rPr>
          <w:rFonts w:hint="default" w:ascii="Times New Roman" w:hAnsi="Times New Roman" w:eastAsia="方正黑体_GBK" w:cs="Times New Roman"/>
          <w:spacing w:val="5"/>
          <w:sz w:val="32"/>
          <w:szCs w:val="32"/>
          <w:u w:val="none" w:color="auto"/>
          <w:lang w:val="en-US" w:eastAsia="zh-CN"/>
        </w:rPr>
        <w:t>1</w:t>
      </w:r>
    </w:p>
    <w:p w14:paraId="602C27DF">
      <w:pPr>
        <w:keepNext w:val="0"/>
        <w:keepLines w:val="0"/>
        <w:pageBreakBefore w:val="0"/>
        <w:widowControl w:val="0"/>
        <w:kinsoku/>
        <w:wordWrap/>
        <w:overflowPunct/>
        <w:topLinePunct w:val="0"/>
        <w:autoSpaceDE/>
        <w:autoSpaceDN/>
        <w:bidi w:val="0"/>
        <w:adjustRightInd/>
        <w:snapToGrid/>
        <w:spacing w:line="590" w:lineRule="exact"/>
        <w:jc w:val="center"/>
        <w:textAlignment w:val="auto"/>
        <w:outlineLvl w:val="0"/>
        <w:rPr>
          <w:rFonts w:hint="default"/>
          <w:u w:val="none" w:color="auto"/>
          <w:lang w:val="en-US" w:eastAsia="zh-CN"/>
        </w:rPr>
      </w:pPr>
      <w:r>
        <w:rPr>
          <w:rFonts w:hint="eastAsia" w:ascii="方正小标宋简体" w:hAnsi="方正小标宋简体" w:eastAsia="方正小标宋简体" w:cs="方正小标宋简体"/>
          <w:spacing w:val="5"/>
          <w:sz w:val="40"/>
          <w:szCs w:val="40"/>
          <w:u w:val="none" w:color="auto"/>
        </w:rPr>
        <w:t>亳州市农村房屋补偿标准</w:t>
      </w:r>
    </w:p>
    <w:tbl>
      <w:tblPr>
        <w:tblStyle w:val="14"/>
        <w:tblW w:w="8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6"/>
        <w:gridCol w:w="578"/>
        <w:gridCol w:w="3262"/>
        <w:gridCol w:w="3592"/>
        <w:gridCol w:w="959"/>
      </w:tblGrid>
      <w:tr w14:paraId="4F7B9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0" w:hRule="atLeast"/>
          <w:jc w:val="center"/>
        </w:trPr>
        <w:tc>
          <w:tcPr>
            <w:tcW w:w="486" w:type="dxa"/>
            <w:vMerge w:val="restart"/>
            <w:tcBorders>
              <w:bottom w:val="nil"/>
            </w:tcBorders>
            <w:noWrap w:val="0"/>
            <w:vAlign w:val="center"/>
          </w:tcPr>
          <w:p w14:paraId="7877FBA7">
            <w:pPr>
              <w:pStyle w:val="13"/>
              <w:keepNext w:val="0"/>
              <w:keepLines w:val="0"/>
              <w:pageBreakBefore w:val="0"/>
              <w:widowControl w:val="0"/>
              <w:kinsoku/>
              <w:wordWrap/>
              <w:overflowPunct/>
              <w:topLinePunct w:val="0"/>
              <w:autoSpaceDE/>
              <w:autoSpaceDN/>
              <w:bidi w:val="0"/>
              <w:adjustRightInd/>
              <w:snapToGrid/>
              <w:spacing w:before="325" w:line="590" w:lineRule="exact"/>
              <w:ind w:left="91"/>
              <w:jc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spacing w:val="-6"/>
                <w:sz w:val="24"/>
                <w:szCs w:val="24"/>
                <w:u w:val="none" w:color="auto"/>
              </w:rPr>
              <w:t>类</w:t>
            </w:r>
            <w:r>
              <w:rPr>
                <w:rFonts w:hint="eastAsia" w:ascii="方正黑体_GBK" w:hAnsi="方正黑体_GBK" w:eastAsia="方正黑体_GBK" w:cs="方正黑体_GBK"/>
                <w:b w:val="0"/>
                <w:bCs w:val="0"/>
                <w:spacing w:val="20"/>
                <w:sz w:val="24"/>
                <w:szCs w:val="24"/>
                <w:u w:val="none" w:color="auto"/>
              </w:rPr>
              <w:t xml:space="preserve"> </w:t>
            </w:r>
            <w:r>
              <w:rPr>
                <w:rFonts w:hint="eastAsia" w:ascii="方正黑体_GBK" w:hAnsi="方正黑体_GBK" w:eastAsia="方正黑体_GBK" w:cs="方正黑体_GBK"/>
                <w:b w:val="0"/>
                <w:bCs w:val="0"/>
                <w:spacing w:val="-6"/>
                <w:sz w:val="24"/>
                <w:szCs w:val="24"/>
                <w:u w:val="none" w:color="auto"/>
              </w:rPr>
              <w:t>别</w:t>
            </w:r>
          </w:p>
        </w:tc>
        <w:tc>
          <w:tcPr>
            <w:tcW w:w="578" w:type="dxa"/>
            <w:vMerge w:val="restart"/>
            <w:tcBorders>
              <w:bottom w:val="nil"/>
            </w:tcBorders>
            <w:noWrap w:val="0"/>
            <w:vAlign w:val="center"/>
          </w:tcPr>
          <w:p w14:paraId="52DFB4A4">
            <w:pPr>
              <w:pStyle w:val="13"/>
              <w:keepNext w:val="0"/>
              <w:keepLines w:val="0"/>
              <w:pageBreakBefore w:val="0"/>
              <w:widowControl w:val="0"/>
              <w:kinsoku/>
              <w:wordWrap/>
              <w:overflowPunct/>
              <w:topLinePunct w:val="0"/>
              <w:autoSpaceDE/>
              <w:autoSpaceDN/>
              <w:bidi w:val="0"/>
              <w:adjustRightInd/>
              <w:snapToGrid/>
              <w:spacing w:before="325" w:line="590" w:lineRule="exact"/>
              <w:ind w:left="66"/>
              <w:jc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spacing w:val="-8"/>
                <w:sz w:val="24"/>
                <w:szCs w:val="24"/>
                <w:u w:val="none" w:color="auto"/>
              </w:rPr>
              <w:t>级</w:t>
            </w:r>
            <w:r>
              <w:rPr>
                <w:rFonts w:hint="eastAsia" w:ascii="方正黑体_GBK" w:hAnsi="方正黑体_GBK" w:eastAsia="方正黑体_GBK" w:cs="方正黑体_GBK"/>
                <w:b w:val="0"/>
                <w:bCs w:val="0"/>
                <w:spacing w:val="20"/>
                <w:sz w:val="24"/>
                <w:szCs w:val="24"/>
                <w:u w:val="none" w:color="auto"/>
              </w:rPr>
              <w:t xml:space="preserve"> </w:t>
            </w:r>
            <w:r>
              <w:rPr>
                <w:rFonts w:hint="eastAsia" w:ascii="方正黑体_GBK" w:hAnsi="方正黑体_GBK" w:eastAsia="方正黑体_GBK" w:cs="方正黑体_GBK"/>
                <w:b w:val="0"/>
                <w:bCs w:val="0"/>
                <w:spacing w:val="-8"/>
                <w:sz w:val="24"/>
                <w:szCs w:val="24"/>
                <w:u w:val="none" w:color="auto"/>
              </w:rPr>
              <w:t>别</w:t>
            </w:r>
          </w:p>
        </w:tc>
        <w:tc>
          <w:tcPr>
            <w:tcW w:w="6854" w:type="dxa"/>
            <w:gridSpan w:val="2"/>
            <w:noWrap w:val="0"/>
            <w:vAlign w:val="center"/>
          </w:tcPr>
          <w:p w14:paraId="4BBCCBBE">
            <w:pPr>
              <w:pStyle w:val="13"/>
              <w:keepNext w:val="0"/>
              <w:keepLines w:val="0"/>
              <w:pageBreakBefore w:val="0"/>
              <w:widowControl w:val="0"/>
              <w:kinsoku/>
              <w:wordWrap/>
              <w:overflowPunct/>
              <w:topLinePunct w:val="0"/>
              <w:autoSpaceDE/>
              <w:autoSpaceDN/>
              <w:bidi w:val="0"/>
              <w:adjustRightInd/>
              <w:snapToGrid/>
              <w:spacing w:before="102" w:line="590" w:lineRule="exact"/>
              <w:ind w:left="3758" w:firstLine="488" w:firstLineChars="200"/>
              <w:rPr>
                <w:rFonts w:hint="eastAsia" w:ascii="方正黑体_GBK" w:hAnsi="方正黑体_GBK" w:eastAsia="方正黑体_GBK" w:cs="方正黑体_GBK"/>
                <w:b w:val="0"/>
                <w:bCs w:val="0"/>
                <w:sz w:val="24"/>
                <w:szCs w:val="24"/>
                <w:u w:val="none" w:color="auto"/>
                <w:lang w:eastAsia="zh-CN"/>
              </w:rPr>
            </w:pPr>
            <w:r>
              <w:rPr>
                <w:rFonts w:hint="eastAsia" w:ascii="方正黑体_GBK" w:hAnsi="方正黑体_GBK" w:eastAsia="方正黑体_GBK" w:cs="方正黑体_GBK"/>
                <w:b w:val="0"/>
                <w:bCs w:val="0"/>
                <w:spacing w:val="2"/>
                <w:sz w:val="24"/>
                <w:szCs w:val="24"/>
                <w:u w:val="none" w:color="auto"/>
                <w:lang w:eastAsia="zh-CN"/>
              </w:rPr>
              <w:t>基础、结构、设备及装饰状况</w:t>
            </w:r>
          </w:p>
        </w:tc>
        <w:tc>
          <w:tcPr>
            <w:tcW w:w="959" w:type="dxa"/>
            <w:vMerge w:val="restart"/>
            <w:noWrap w:val="0"/>
            <w:vAlign w:val="center"/>
          </w:tcPr>
          <w:p w14:paraId="2C0E5279">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color w:val="000000"/>
                <w:kern w:val="0"/>
                <w:sz w:val="24"/>
                <w:szCs w:val="24"/>
                <w:u w:val="none" w:color="auto"/>
                <w:lang w:val="en-US" w:eastAsia="zh-CN" w:bidi="ar"/>
              </w:rPr>
            </w:pPr>
            <w:r>
              <w:rPr>
                <w:rFonts w:hint="eastAsia" w:ascii="方正黑体_GBK" w:hAnsi="方正黑体_GBK" w:eastAsia="方正黑体_GBK" w:cs="方正黑体_GBK"/>
                <w:b w:val="0"/>
                <w:bCs w:val="0"/>
                <w:color w:val="000000"/>
                <w:kern w:val="0"/>
                <w:sz w:val="24"/>
                <w:szCs w:val="24"/>
                <w:u w:val="none" w:color="auto"/>
                <w:lang w:val="en-US" w:eastAsia="zh-CN" w:bidi="ar"/>
              </w:rPr>
              <w:t>补偿标准</w:t>
            </w:r>
          </w:p>
          <w:p w14:paraId="0ABE127A">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pacing w:val="-8"/>
                <w:sz w:val="24"/>
                <w:szCs w:val="24"/>
                <w:u w:val="none" w:color="auto"/>
                <w:lang w:val="en-US" w:eastAsia="zh-CN"/>
              </w:rPr>
            </w:pPr>
            <w:r>
              <w:rPr>
                <w:rFonts w:hint="eastAsia" w:ascii="方正黑体_GBK" w:hAnsi="方正黑体_GBK" w:eastAsia="方正黑体_GBK" w:cs="方正黑体_GBK"/>
                <w:b w:val="0"/>
                <w:bCs w:val="0"/>
                <w:color w:val="000000"/>
                <w:kern w:val="0"/>
                <w:sz w:val="24"/>
                <w:szCs w:val="24"/>
                <w:u w:val="none" w:color="auto"/>
                <w:lang w:eastAsia="zh-CN" w:bidi="ar"/>
              </w:rPr>
              <w:t>（元/m²）</w:t>
            </w:r>
          </w:p>
        </w:tc>
      </w:tr>
      <w:tr w14:paraId="3D705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jc w:val="center"/>
        </w:trPr>
        <w:tc>
          <w:tcPr>
            <w:tcW w:w="486" w:type="dxa"/>
            <w:vMerge w:val="continue"/>
            <w:tcBorders>
              <w:top w:val="nil"/>
            </w:tcBorders>
            <w:noWrap w:val="0"/>
            <w:vAlign w:val="center"/>
          </w:tcPr>
          <w:p w14:paraId="2C5083F5">
            <w:pPr>
              <w:keepNext w:val="0"/>
              <w:keepLines w:val="0"/>
              <w:pageBreakBefore w:val="0"/>
              <w:widowControl w:val="0"/>
              <w:kinsoku/>
              <w:wordWrap/>
              <w:overflowPunct/>
              <w:topLinePunct w:val="0"/>
              <w:autoSpaceDE/>
              <w:autoSpaceDN/>
              <w:bidi w:val="0"/>
              <w:adjustRightInd/>
              <w:snapToGrid/>
              <w:spacing w:line="590" w:lineRule="exact"/>
              <w:jc w:val="center"/>
              <w:rPr>
                <w:rFonts w:hint="default" w:ascii="Times New Roman" w:hAnsi="Times New Roman" w:cs="Times New Roman"/>
                <w:b w:val="0"/>
                <w:bCs w:val="0"/>
                <w:sz w:val="24"/>
                <w:szCs w:val="24"/>
                <w:u w:val="none" w:color="auto"/>
              </w:rPr>
            </w:pPr>
          </w:p>
        </w:tc>
        <w:tc>
          <w:tcPr>
            <w:tcW w:w="578" w:type="dxa"/>
            <w:vMerge w:val="continue"/>
            <w:tcBorders>
              <w:top w:val="nil"/>
            </w:tcBorders>
            <w:noWrap w:val="0"/>
            <w:vAlign w:val="center"/>
          </w:tcPr>
          <w:p w14:paraId="698347E7">
            <w:pPr>
              <w:keepNext w:val="0"/>
              <w:keepLines w:val="0"/>
              <w:pageBreakBefore w:val="0"/>
              <w:widowControl w:val="0"/>
              <w:kinsoku/>
              <w:wordWrap/>
              <w:overflowPunct/>
              <w:topLinePunct w:val="0"/>
              <w:autoSpaceDE/>
              <w:autoSpaceDN/>
              <w:bidi w:val="0"/>
              <w:adjustRightInd/>
              <w:snapToGrid/>
              <w:spacing w:line="590" w:lineRule="exact"/>
              <w:jc w:val="center"/>
              <w:rPr>
                <w:rFonts w:hint="default" w:ascii="Times New Roman" w:hAnsi="Times New Roman" w:cs="Times New Roman"/>
                <w:b w:val="0"/>
                <w:bCs w:val="0"/>
                <w:sz w:val="24"/>
                <w:szCs w:val="24"/>
                <w:u w:val="none" w:color="auto"/>
              </w:rPr>
            </w:pPr>
          </w:p>
        </w:tc>
        <w:tc>
          <w:tcPr>
            <w:tcW w:w="3262" w:type="dxa"/>
            <w:noWrap w:val="0"/>
            <w:vAlign w:val="center"/>
          </w:tcPr>
          <w:p w14:paraId="3D2A3C39">
            <w:pPr>
              <w:pStyle w:val="13"/>
              <w:keepNext w:val="0"/>
              <w:keepLines w:val="0"/>
              <w:pageBreakBefore w:val="0"/>
              <w:widowControl w:val="0"/>
              <w:kinsoku/>
              <w:wordWrap/>
              <w:overflowPunct/>
              <w:topLinePunct w:val="0"/>
              <w:autoSpaceDE/>
              <w:autoSpaceDN/>
              <w:bidi w:val="0"/>
              <w:adjustRightInd/>
              <w:snapToGrid/>
              <w:spacing w:before="96" w:line="590" w:lineRule="exact"/>
              <w:jc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spacing w:val="-7"/>
                <w:sz w:val="24"/>
                <w:szCs w:val="24"/>
                <w:u w:val="none" w:color="auto"/>
              </w:rPr>
              <w:t>主</w:t>
            </w:r>
            <w:r>
              <w:rPr>
                <w:rFonts w:hint="eastAsia" w:ascii="方正黑体_GBK" w:hAnsi="方正黑体_GBK" w:eastAsia="方正黑体_GBK" w:cs="方正黑体_GBK"/>
                <w:b w:val="0"/>
                <w:bCs w:val="0"/>
                <w:spacing w:val="12"/>
                <w:sz w:val="24"/>
                <w:szCs w:val="24"/>
                <w:u w:val="none" w:color="auto"/>
              </w:rPr>
              <w:t xml:space="preserve">  </w:t>
            </w:r>
            <w:r>
              <w:rPr>
                <w:rFonts w:hint="eastAsia" w:ascii="方正黑体_GBK" w:hAnsi="方正黑体_GBK" w:eastAsia="方正黑体_GBK" w:cs="方正黑体_GBK"/>
                <w:b w:val="0"/>
                <w:bCs w:val="0"/>
                <w:spacing w:val="-7"/>
                <w:sz w:val="24"/>
                <w:szCs w:val="24"/>
                <w:u w:val="none" w:color="auto"/>
              </w:rPr>
              <w:t>项</w:t>
            </w:r>
          </w:p>
        </w:tc>
        <w:tc>
          <w:tcPr>
            <w:tcW w:w="3592" w:type="dxa"/>
            <w:noWrap w:val="0"/>
            <w:vAlign w:val="center"/>
          </w:tcPr>
          <w:p w14:paraId="40656B1C">
            <w:pPr>
              <w:pStyle w:val="13"/>
              <w:keepNext w:val="0"/>
              <w:keepLines w:val="0"/>
              <w:pageBreakBefore w:val="0"/>
              <w:widowControl w:val="0"/>
              <w:kinsoku/>
              <w:wordWrap/>
              <w:overflowPunct/>
              <w:topLinePunct w:val="0"/>
              <w:autoSpaceDE/>
              <w:autoSpaceDN/>
              <w:bidi w:val="0"/>
              <w:adjustRightInd/>
              <w:snapToGrid/>
              <w:spacing w:before="96" w:line="590" w:lineRule="exact"/>
              <w:jc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spacing w:val="-7"/>
                <w:sz w:val="24"/>
                <w:szCs w:val="24"/>
                <w:u w:val="none" w:color="auto"/>
              </w:rPr>
              <w:t>辅</w:t>
            </w:r>
            <w:r>
              <w:rPr>
                <w:rFonts w:hint="eastAsia" w:ascii="方正黑体_GBK" w:hAnsi="方正黑体_GBK" w:eastAsia="方正黑体_GBK" w:cs="方正黑体_GBK"/>
                <w:b w:val="0"/>
                <w:bCs w:val="0"/>
                <w:spacing w:val="12"/>
                <w:sz w:val="24"/>
                <w:szCs w:val="24"/>
                <w:u w:val="none" w:color="auto"/>
              </w:rPr>
              <w:t xml:space="preserve">  </w:t>
            </w:r>
            <w:r>
              <w:rPr>
                <w:rFonts w:hint="eastAsia" w:ascii="方正黑体_GBK" w:hAnsi="方正黑体_GBK" w:eastAsia="方正黑体_GBK" w:cs="方正黑体_GBK"/>
                <w:b w:val="0"/>
                <w:bCs w:val="0"/>
                <w:spacing w:val="-7"/>
                <w:sz w:val="24"/>
                <w:szCs w:val="24"/>
                <w:u w:val="none" w:color="auto"/>
              </w:rPr>
              <w:t>项</w:t>
            </w:r>
          </w:p>
        </w:tc>
        <w:tc>
          <w:tcPr>
            <w:tcW w:w="959" w:type="dxa"/>
            <w:vMerge w:val="continue"/>
            <w:noWrap w:val="0"/>
            <w:vAlign w:val="center"/>
          </w:tcPr>
          <w:p w14:paraId="51CABBEA">
            <w:pPr>
              <w:keepNext w:val="0"/>
              <w:keepLines w:val="0"/>
              <w:pageBreakBefore w:val="0"/>
              <w:widowControl w:val="0"/>
              <w:kinsoku/>
              <w:wordWrap/>
              <w:overflowPunct/>
              <w:topLinePunct w:val="0"/>
              <w:autoSpaceDE/>
              <w:autoSpaceDN/>
              <w:bidi w:val="0"/>
              <w:adjustRightInd/>
              <w:snapToGrid/>
              <w:spacing w:line="590" w:lineRule="exact"/>
              <w:jc w:val="center"/>
              <w:rPr>
                <w:rFonts w:hint="default" w:ascii="Times New Roman" w:hAnsi="Times New Roman" w:cs="Times New Roman"/>
                <w:b w:val="0"/>
                <w:bCs w:val="0"/>
                <w:sz w:val="24"/>
                <w:szCs w:val="24"/>
                <w:u w:val="none" w:color="auto"/>
              </w:rPr>
            </w:pPr>
          </w:p>
        </w:tc>
      </w:tr>
      <w:tr w14:paraId="25D90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1" w:hRule="atLeast"/>
          <w:jc w:val="center"/>
        </w:trPr>
        <w:tc>
          <w:tcPr>
            <w:tcW w:w="486" w:type="dxa"/>
            <w:vMerge w:val="restart"/>
            <w:tcBorders>
              <w:bottom w:val="nil"/>
            </w:tcBorders>
            <w:noWrap w:val="0"/>
            <w:vAlign w:val="center"/>
          </w:tcPr>
          <w:p w14:paraId="5DA515CB">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 xml:space="preserve">钢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 xml:space="preserve">混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 xml:space="preserve">结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构</w:t>
            </w:r>
          </w:p>
        </w:tc>
        <w:tc>
          <w:tcPr>
            <w:tcW w:w="578" w:type="dxa"/>
            <w:noWrap w:val="0"/>
            <w:vAlign w:val="center"/>
          </w:tcPr>
          <w:p w14:paraId="640F7202">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一</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3262" w:type="dxa"/>
            <w:noWrap w:val="0"/>
            <w:vAlign w:val="center"/>
          </w:tcPr>
          <w:p w14:paraId="4E35BFC3">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1.桩基或钢筋砼基础；2.钢筋砼梁、板、柱承重；3.钢筋砼屋面；4.钢筋砼楼面，水泥砂浆水磨石楼地面；5.钢筋砼楼梯；6.铝合金、塑钢、钢窗，木门。层高2.8-3.3m的多层建筑物。</w:t>
            </w:r>
          </w:p>
        </w:tc>
        <w:tc>
          <w:tcPr>
            <w:tcW w:w="3592" w:type="dxa"/>
            <w:noWrap w:val="0"/>
            <w:vAlign w:val="center"/>
          </w:tcPr>
          <w:p w14:paraId="5CF9FAB4">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1.外墙水泥砂浆抹面贴瓷砖、马赛克或喷涂高级涂料；2.内墙中等抹灰刷高级涂料，顶棚底板抹灰刷高级涂料；3.独用给排水，独用卫生间，卫生设施齐全； 4.电照暗线铺设，有消火栓，避雷装置。</w:t>
            </w:r>
          </w:p>
        </w:tc>
        <w:tc>
          <w:tcPr>
            <w:tcW w:w="959" w:type="dxa"/>
            <w:noWrap w:val="0"/>
            <w:vAlign w:val="center"/>
          </w:tcPr>
          <w:p w14:paraId="0CE0A609">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1100</w:t>
            </w:r>
          </w:p>
        </w:tc>
      </w:tr>
      <w:tr w14:paraId="427CF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3" w:hRule="atLeast"/>
          <w:jc w:val="center"/>
        </w:trPr>
        <w:tc>
          <w:tcPr>
            <w:tcW w:w="486" w:type="dxa"/>
            <w:vMerge w:val="continue"/>
            <w:tcBorders>
              <w:top w:val="nil"/>
            </w:tcBorders>
            <w:noWrap w:val="0"/>
            <w:vAlign w:val="center"/>
          </w:tcPr>
          <w:p w14:paraId="2C4831E1">
            <w:pPr>
              <w:keepNext w:val="0"/>
              <w:keepLines w:val="0"/>
              <w:pageBreakBefore w:val="0"/>
              <w:widowControl w:val="0"/>
              <w:kinsoku/>
              <w:wordWrap/>
              <w:overflowPunct/>
              <w:topLinePunct w:val="0"/>
              <w:autoSpaceDE/>
              <w:autoSpaceDN/>
              <w:bidi w:val="0"/>
              <w:adjustRightInd/>
              <w:snapToGrid/>
              <w:spacing w:line="590" w:lineRule="exact"/>
              <w:jc w:val="center"/>
              <w:rPr>
                <w:rFonts w:hint="eastAsia" w:ascii="方正黑体_GBK" w:hAnsi="方正黑体_GBK" w:eastAsia="方正黑体_GBK" w:cs="方正黑体_GBK"/>
                <w:b w:val="0"/>
                <w:bCs w:val="0"/>
                <w:sz w:val="24"/>
                <w:szCs w:val="24"/>
                <w:u w:val="none" w:color="auto"/>
              </w:rPr>
            </w:pPr>
          </w:p>
        </w:tc>
        <w:tc>
          <w:tcPr>
            <w:tcW w:w="578" w:type="dxa"/>
            <w:noWrap w:val="0"/>
            <w:vAlign w:val="center"/>
          </w:tcPr>
          <w:p w14:paraId="6231958E">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二</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3262" w:type="dxa"/>
            <w:noWrap w:val="0"/>
            <w:vAlign w:val="center"/>
          </w:tcPr>
          <w:p w14:paraId="09A0F90D">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1.钢筋砼基础；2.钢筋砼梁、板、柱承重；3.钢筋砼屋面；4.钢筋砼楼面，水泥砂浆或水磨石楼地面；5.钢筋砼楼梯；6.铝合金、塑钢、钢窗，木门。层高2.8-3.3m的低层建筑物。</w:t>
            </w:r>
          </w:p>
        </w:tc>
        <w:tc>
          <w:tcPr>
            <w:tcW w:w="3592" w:type="dxa"/>
            <w:noWrap w:val="0"/>
            <w:vAlign w:val="center"/>
          </w:tcPr>
          <w:p w14:paraId="569C8489">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1.外墙水泥砂浆抹面喷涂；2.内墙中等抹灰刷高级涂料，顶棚底板抹灰刷高级涂料；3.独用给排水，独用卫生间、卫生设施、照明用电。</w:t>
            </w:r>
          </w:p>
        </w:tc>
        <w:tc>
          <w:tcPr>
            <w:tcW w:w="959" w:type="dxa"/>
            <w:noWrap w:val="0"/>
            <w:vAlign w:val="center"/>
          </w:tcPr>
          <w:p w14:paraId="0F7609DD">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950</w:t>
            </w:r>
          </w:p>
        </w:tc>
      </w:tr>
      <w:tr w14:paraId="40024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5" w:hRule="atLeast"/>
          <w:jc w:val="center"/>
        </w:trPr>
        <w:tc>
          <w:tcPr>
            <w:tcW w:w="486" w:type="dxa"/>
            <w:vMerge w:val="restart"/>
            <w:noWrap w:val="0"/>
            <w:vAlign w:val="center"/>
          </w:tcPr>
          <w:p w14:paraId="1E339F43">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 xml:space="preserve">全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 xml:space="preserve">钢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 xml:space="preserve">结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构</w:t>
            </w:r>
          </w:p>
        </w:tc>
        <w:tc>
          <w:tcPr>
            <w:tcW w:w="578" w:type="dxa"/>
            <w:noWrap w:val="0"/>
            <w:vAlign w:val="center"/>
          </w:tcPr>
          <w:p w14:paraId="3017E46A">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一</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6854" w:type="dxa"/>
            <w:gridSpan w:val="2"/>
            <w:noWrap w:val="0"/>
            <w:vAlign w:val="center"/>
          </w:tcPr>
          <w:p w14:paraId="78D2D5A8">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钢砼结构，型钢和钢板等制成的梁钢、钢柱、钢桁架，并采用硅烷化、纯锰磷化、水洗烘干、镀锌等除锈防锈工艺。各构件或部件之间通常采用焊缝、螺栓或铆钉连接，无吊车。檐高大于8m的工业仓储用房。</w:t>
            </w:r>
          </w:p>
        </w:tc>
        <w:tc>
          <w:tcPr>
            <w:tcW w:w="959" w:type="dxa"/>
            <w:noWrap w:val="0"/>
            <w:vAlign w:val="center"/>
          </w:tcPr>
          <w:p w14:paraId="6BFE7F94">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u w:val="none" w:color="auto"/>
                <w:lang w:bidi="ar"/>
              </w:rPr>
            </w:pPr>
            <w:r>
              <w:rPr>
                <w:rFonts w:hint="eastAsia" w:ascii="Times New Roman" w:hAnsi="Times New Roman" w:eastAsia="宋体" w:cs="Times New Roman"/>
                <w:b w:val="0"/>
                <w:bCs w:val="0"/>
                <w:color w:val="000000"/>
                <w:kern w:val="0"/>
                <w:sz w:val="24"/>
                <w:szCs w:val="24"/>
                <w:u w:val="none" w:color="auto"/>
                <w:lang w:val="en-US" w:eastAsia="zh-CN" w:bidi="ar"/>
              </w:rPr>
              <w:t xml:space="preserve">  </w:t>
            </w:r>
            <w:r>
              <w:rPr>
                <w:rFonts w:hint="default" w:ascii="Times New Roman" w:hAnsi="Times New Roman" w:eastAsia="宋体" w:cs="Times New Roman"/>
                <w:b w:val="0"/>
                <w:bCs w:val="0"/>
                <w:color w:val="000000"/>
                <w:kern w:val="0"/>
                <w:sz w:val="24"/>
                <w:szCs w:val="24"/>
                <w:u w:val="none" w:color="auto"/>
                <w:lang w:bidi="ar"/>
              </w:rPr>
              <w:t>880</w:t>
            </w:r>
          </w:p>
        </w:tc>
      </w:tr>
      <w:tr w14:paraId="15EB5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5" w:hRule="atLeast"/>
          <w:jc w:val="center"/>
        </w:trPr>
        <w:tc>
          <w:tcPr>
            <w:tcW w:w="486" w:type="dxa"/>
            <w:vMerge w:val="continue"/>
            <w:noWrap w:val="0"/>
            <w:vAlign w:val="center"/>
          </w:tcPr>
          <w:p w14:paraId="315D8CB2">
            <w:pPr>
              <w:keepNext w:val="0"/>
              <w:keepLines w:val="0"/>
              <w:pageBreakBefore w:val="0"/>
              <w:widowControl w:val="0"/>
              <w:kinsoku/>
              <w:wordWrap/>
              <w:overflowPunct/>
              <w:topLinePunct w:val="0"/>
              <w:autoSpaceDE/>
              <w:autoSpaceDN/>
              <w:bidi w:val="0"/>
              <w:adjustRightInd/>
              <w:snapToGrid/>
              <w:spacing w:line="590" w:lineRule="exact"/>
              <w:jc w:val="center"/>
              <w:rPr>
                <w:rFonts w:hint="eastAsia" w:ascii="方正黑体_GBK" w:hAnsi="方正黑体_GBK" w:eastAsia="方正黑体_GBK" w:cs="方正黑体_GBK"/>
                <w:b w:val="0"/>
                <w:bCs w:val="0"/>
                <w:sz w:val="24"/>
                <w:szCs w:val="24"/>
                <w:u w:val="none" w:color="auto"/>
              </w:rPr>
            </w:pPr>
          </w:p>
        </w:tc>
        <w:tc>
          <w:tcPr>
            <w:tcW w:w="578" w:type="dxa"/>
            <w:noWrap w:val="0"/>
            <w:vAlign w:val="center"/>
          </w:tcPr>
          <w:p w14:paraId="2A607A25">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pacing w:val="-81"/>
                <w:w w:val="4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二</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6854" w:type="dxa"/>
            <w:gridSpan w:val="2"/>
            <w:noWrap w:val="0"/>
            <w:vAlign w:val="center"/>
          </w:tcPr>
          <w:p w14:paraId="0E44AD3B">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4"/>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钢砼结构，型钢和钢板等制成的梁钢、钢柱、钢桁架，并采用硅烷化、纯锰磷化、水洗烘干、镀锌等除锈防锈工艺。各构件或部件之间通常采用焊缝、 螺栓或铆钉连接，无吊车。檐高大于6m的工业仓储用房。</w:t>
            </w:r>
          </w:p>
        </w:tc>
        <w:tc>
          <w:tcPr>
            <w:tcW w:w="959" w:type="dxa"/>
            <w:noWrap w:val="0"/>
            <w:vAlign w:val="center"/>
          </w:tcPr>
          <w:p w14:paraId="41F3FDA4">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u w:val="none" w:color="auto"/>
                <w:lang w:bidi="ar"/>
              </w:rPr>
            </w:pPr>
            <w:r>
              <w:rPr>
                <w:rFonts w:hint="default" w:ascii="Times New Roman" w:hAnsi="Times New Roman" w:eastAsia="宋体" w:cs="Times New Roman"/>
                <w:b w:val="0"/>
                <w:bCs w:val="0"/>
                <w:color w:val="000000"/>
                <w:kern w:val="0"/>
                <w:sz w:val="24"/>
                <w:szCs w:val="24"/>
                <w:u w:val="none" w:color="auto"/>
                <w:lang w:bidi="ar"/>
              </w:rPr>
              <w:t>850</w:t>
            </w:r>
          </w:p>
        </w:tc>
      </w:tr>
      <w:tr w14:paraId="67EF8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1" w:hRule="atLeast"/>
          <w:jc w:val="center"/>
        </w:trPr>
        <w:tc>
          <w:tcPr>
            <w:tcW w:w="486" w:type="dxa"/>
            <w:vMerge w:val="continue"/>
            <w:noWrap w:val="0"/>
            <w:vAlign w:val="center"/>
          </w:tcPr>
          <w:p w14:paraId="2F4107E8">
            <w:pPr>
              <w:keepNext w:val="0"/>
              <w:keepLines w:val="0"/>
              <w:pageBreakBefore w:val="0"/>
              <w:widowControl w:val="0"/>
              <w:kinsoku/>
              <w:wordWrap/>
              <w:overflowPunct/>
              <w:topLinePunct w:val="0"/>
              <w:autoSpaceDE/>
              <w:autoSpaceDN/>
              <w:bidi w:val="0"/>
              <w:adjustRightInd/>
              <w:snapToGrid/>
              <w:spacing w:line="590" w:lineRule="exact"/>
              <w:jc w:val="center"/>
              <w:rPr>
                <w:rFonts w:hint="eastAsia" w:ascii="方正黑体_GBK" w:hAnsi="方正黑体_GBK" w:eastAsia="方正黑体_GBK" w:cs="方正黑体_GBK"/>
                <w:b w:val="0"/>
                <w:bCs w:val="0"/>
                <w:sz w:val="24"/>
                <w:szCs w:val="24"/>
                <w:u w:val="none" w:color="auto"/>
              </w:rPr>
            </w:pPr>
          </w:p>
        </w:tc>
        <w:tc>
          <w:tcPr>
            <w:tcW w:w="578" w:type="dxa"/>
            <w:noWrap w:val="0"/>
            <w:vAlign w:val="center"/>
          </w:tcPr>
          <w:p w14:paraId="78409C4F">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pacing w:val="-81"/>
                <w:w w:val="4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三</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6854" w:type="dxa"/>
            <w:gridSpan w:val="2"/>
            <w:noWrap w:val="0"/>
            <w:vAlign w:val="center"/>
          </w:tcPr>
          <w:p w14:paraId="5AF9D2B1">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4"/>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钢结构、型钢和钢板等制成的梁钢、钢柱。约1m砖基础或其他结构基础。各构件或部件之间通常采用焊缝、螺栓或铆钉连接，无吊车。檐高3-5m的工业仓储用房。</w:t>
            </w:r>
          </w:p>
        </w:tc>
        <w:tc>
          <w:tcPr>
            <w:tcW w:w="959" w:type="dxa"/>
            <w:noWrap w:val="0"/>
            <w:vAlign w:val="center"/>
          </w:tcPr>
          <w:p w14:paraId="4AD65F8F">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u w:val="none" w:color="auto"/>
                <w:lang w:bidi="ar"/>
              </w:rPr>
            </w:pPr>
            <w:r>
              <w:rPr>
                <w:rFonts w:hint="default" w:ascii="Times New Roman" w:hAnsi="Times New Roman" w:eastAsia="宋体" w:cs="Times New Roman"/>
                <w:b w:val="0"/>
                <w:bCs w:val="0"/>
                <w:color w:val="000000"/>
                <w:kern w:val="0"/>
                <w:sz w:val="24"/>
                <w:szCs w:val="24"/>
                <w:u w:val="none" w:color="auto"/>
                <w:lang w:bidi="ar"/>
              </w:rPr>
              <w:t>550</w:t>
            </w:r>
          </w:p>
        </w:tc>
      </w:tr>
    </w:tbl>
    <w:p w14:paraId="041124BB">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default" w:ascii="Times New Roman" w:hAnsi="Times New Roman" w:eastAsia="方正仿宋_GBK" w:cs="Times New Roman"/>
          <w:sz w:val="32"/>
          <w:szCs w:val="32"/>
        </w:rPr>
      </w:pPr>
    </w:p>
    <w:tbl>
      <w:tblPr>
        <w:tblStyle w:val="14"/>
        <w:tblW w:w="50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14"/>
        <w:gridCol w:w="469"/>
        <w:gridCol w:w="3488"/>
        <w:gridCol w:w="3586"/>
        <w:gridCol w:w="930"/>
      </w:tblGrid>
      <w:tr w14:paraId="63D3D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8" w:hRule="atLeast"/>
          <w:jc w:val="center"/>
        </w:trPr>
        <w:tc>
          <w:tcPr>
            <w:tcW w:w="233" w:type="pct"/>
            <w:vMerge w:val="restart"/>
            <w:tcBorders>
              <w:bottom w:val="nil"/>
            </w:tcBorders>
            <w:noWrap w:val="0"/>
            <w:vAlign w:val="center"/>
          </w:tcPr>
          <w:p w14:paraId="4BF5DA3E">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类 别</w:t>
            </w:r>
          </w:p>
        </w:tc>
        <w:tc>
          <w:tcPr>
            <w:tcW w:w="264" w:type="pct"/>
            <w:vMerge w:val="restart"/>
            <w:tcBorders>
              <w:bottom w:val="nil"/>
            </w:tcBorders>
            <w:noWrap w:val="0"/>
            <w:vAlign w:val="center"/>
          </w:tcPr>
          <w:p w14:paraId="2A2FE14D">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级 别</w:t>
            </w:r>
          </w:p>
        </w:tc>
        <w:tc>
          <w:tcPr>
            <w:tcW w:w="3979" w:type="pct"/>
            <w:gridSpan w:val="2"/>
            <w:noWrap w:val="0"/>
            <w:vAlign w:val="center"/>
          </w:tcPr>
          <w:p w14:paraId="56ABC08C">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基础、结构、设备及装饰状况</w:t>
            </w:r>
          </w:p>
        </w:tc>
        <w:tc>
          <w:tcPr>
            <w:tcW w:w="523" w:type="pct"/>
            <w:vMerge w:val="restart"/>
            <w:noWrap w:val="0"/>
            <w:vAlign w:val="center"/>
          </w:tcPr>
          <w:p w14:paraId="394DA6EB">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color w:val="000000"/>
                <w:kern w:val="0"/>
                <w:sz w:val="24"/>
                <w:szCs w:val="24"/>
                <w:u w:val="none" w:color="auto"/>
                <w:lang w:val="en-US" w:eastAsia="zh-CN" w:bidi="ar"/>
              </w:rPr>
            </w:pPr>
            <w:r>
              <w:rPr>
                <w:rFonts w:hint="eastAsia" w:ascii="方正黑体_GBK" w:hAnsi="方正黑体_GBK" w:eastAsia="方正黑体_GBK" w:cs="方正黑体_GBK"/>
                <w:b w:val="0"/>
                <w:bCs w:val="0"/>
                <w:color w:val="000000"/>
                <w:kern w:val="0"/>
                <w:sz w:val="24"/>
                <w:szCs w:val="24"/>
                <w:u w:val="none" w:color="auto"/>
                <w:lang w:val="en-US" w:eastAsia="zh-CN" w:bidi="ar"/>
              </w:rPr>
              <w:t>补偿标准</w:t>
            </w:r>
          </w:p>
          <w:p w14:paraId="7E80ABF7">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color w:val="000000"/>
                <w:kern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eastAsia="zh-CN" w:bidi="ar"/>
              </w:rPr>
              <w:t>（元/m²）</w:t>
            </w:r>
          </w:p>
        </w:tc>
      </w:tr>
      <w:tr w14:paraId="35E64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2" w:hRule="atLeast"/>
          <w:jc w:val="center"/>
        </w:trPr>
        <w:tc>
          <w:tcPr>
            <w:tcW w:w="233" w:type="pct"/>
            <w:vMerge w:val="continue"/>
            <w:tcBorders>
              <w:top w:val="nil"/>
            </w:tcBorders>
            <w:noWrap w:val="0"/>
            <w:vAlign w:val="top"/>
          </w:tcPr>
          <w:p w14:paraId="7C62E48E">
            <w:pPr>
              <w:keepNext w:val="0"/>
              <w:keepLines w:val="0"/>
              <w:pageBreakBefore w:val="0"/>
              <w:widowControl w:val="0"/>
              <w:kinsoku/>
              <w:wordWrap/>
              <w:overflowPunct/>
              <w:topLinePunct w:val="0"/>
              <w:autoSpaceDE/>
              <w:autoSpaceDN/>
              <w:bidi w:val="0"/>
              <w:adjustRightInd/>
              <w:snapToGrid/>
              <w:spacing w:line="590" w:lineRule="exact"/>
              <w:rPr>
                <w:rFonts w:hint="eastAsia" w:ascii="方正黑体_GBK" w:hAnsi="方正黑体_GBK" w:eastAsia="方正黑体_GBK" w:cs="方正黑体_GBK"/>
                <w:b w:val="0"/>
                <w:bCs w:val="0"/>
                <w:sz w:val="24"/>
                <w:szCs w:val="24"/>
                <w:u w:val="none" w:color="auto"/>
              </w:rPr>
            </w:pPr>
          </w:p>
        </w:tc>
        <w:tc>
          <w:tcPr>
            <w:tcW w:w="264" w:type="pct"/>
            <w:vMerge w:val="continue"/>
            <w:tcBorders>
              <w:top w:val="nil"/>
            </w:tcBorders>
            <w:noWrap w:val="0"/>
            <w:vAlign w:val="top"/>
          </w:tcPr>
          <w:p w14:paraId="0C3E71AE">
            <w:pPr>
              <w:keepNext w:val="0"/>
              <w:keepLines w:val="0"/>
              <w:pageBreakBefore w:val="0"/>
              <w:widowControl w:val="0"/>
              <w:kinsoku/>
              <w:wordWrap/>
              <w:overflowPunct/>
              <w:topLinePunct w:val="0"/>
              <w:autoSpaceDE/>
              <w:autoSpaceDN/>
              <w:bidi w:val="0"/>
              <w:adjustRightInd/>
              <w:snapToGrid/>
              <w:spacing w:line="590" w:lineRule="exact"/>
              <w:rPr>
                <w:rFonts w:hint="eastAsia" w:ascii="方正黑体_GBK" w:hAnsi="方正黑体_GBK" w:eastAsia="方正黑体_GBK" w:cs="方正黑体_GBK"/>
                <w:b w:val="0"/>
                <w:bCs w:val="0"/>
                <w:sz w:val="24"/>
                <w:szCs w:val="24"/>
                <w:u w:val="none" w:color="auto"/>
              </w:rPr>
            </w:pPr>
          </w:p>
        </w:tc>
        <w:tc>
          <w:tcPr>
            <w:tcW w:w="1962" w:type="pct"/>
            <w:noWrap w:val="0"/>
            <w:vAlign w:val="center"/>
          </w:tcPr>
          <w:p w14:paraId="59D24B37">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spacing w:val="-7"/>
                <w:sz w:val="24"/>
                <w:szCs w:val="24"/>
                <w:u w:val="none" w:color="auto"/>
              </w:rPr>
              <w:t>主</w:t>
            </w:r>
            <w:r>
              <w:rPr>
                <w:rFonts w:hint="eastAsia" w:ascii="方正黑体_GBK" w:hAnsi="方正黑体_GBK" w:eastAsia="方正黑体_GBK" w:cs="方正黑体_GBK"/>
                <w:b w:val="0"/>
                <w:bCs w:val="0"/>
                <w:spacing w:val="12"/>
                <w:sz w:val="24"/>
                <w:szCs w:val="24"/>
                <w:u w:val="none" w:color="auto"/>
              </w:rPr>
              <w:t xml:space="preserve">  </w:t>
            </w:r>
            <w:r>
              <w:rPr>
                <w:rFonts w:hint="eastAsia" w:ascii="方正黑体_GBK" w:hAnsi="方正黑体_GBK" w:eastAsia="方正黑体_GBK" w:cs="方正黑体_GBK"/>
                <w:b w:val="0"/>
                <w:bCs w:val="0"/>
                <w:spacing w:val="-7"/>
                <w:sz w:val="24"/>
                <w:szCs w:val="24"/>
                <w:u w:val="none" w:color="auto"/>
              </w:rPr>
              <w:t>项</w:t>
            </w:r>
          </w:p>
        </w:tc>
        <w:tc>
          <w:tcPr>
            <w:tcW w:w="2016" w:type="pct"/>
            <w:noWrap w:val="0"/>
            <w:vAlign w:val="center"/>
          </w:tcPr>
          <w:p w14:paraId="3AC1E6A1">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spacing w:val="-7"/>
                <w:sz w:val="24"/>
                <w:szCs w:val="24"/>
                <w:u w:val="none" w:color="auto"/>
              </w:rPr>
              <w:t>辅</w:t>
            </w:r>
            <w:r>
              <w:rPr>
                <w:rFonts w:hint="eastAsia" w:ascii="方正黑体_GBK" w:hAnsi="方正黑体_GBK" w:eastAsia="方正黑体_GBK" w:cs="方正黑体_GBK"/>
                <w:b w:val="0"/>
                <w:bCs w:val="0"/>
                <w:spacing w:val="12"/>
                <w:sz w:val="24"/>
                <w:szCs w:val="24"/>
                <w:u w:val="none" w:color="auto"/>
              </w:rPr>
              <w:t xml:space="preserve">  </w:t>
            </w:r>
            <w:r>
              <w:rPr>
                <w:rFonts w:hint="eastAsia" w:ascii="方正黑体_GBK" w:hAnsi="方正黑体_GBK" w:eastAsia="方正黑体_GBK" w:cs="方正黑体_GBK"/>
                <w:b w:val="0"/>
                <w:bCs w:val="0"/>
                <w:spacing w:val="-7"/>
                <w:sz w:val="24"/>
                <w:szCs w:val="24"/>
                <w:u w:val="none" w:color="auto"/>
              </w:rPr>
              <w:t>项</w:t>
            </w:r>
          </w:p>
        </w:tc>
        <w:tc>
          <w:tcPr>
            <w:tcW w:w="523" w:type="pct"/>
            <w:vMerge w:val="continue"/>
            <w:noWrap w:val="0"/>
            <w:vAlign w:val="top"/>
          </w:tcPr>
          <w:p w14:paraId="0DF5016B">
            <w:pPr>
              <w:keepNext w:val="0"/>
              <w:keepLines w:val="0"/>
              <w:pageBreakBefore w:val="0"/>
              <w:widowControl w:val="0"/>
              <w:kinsoku/>
              <w:wordWrap/>
              <w:overflowPunct/>
              <w:topLinePunct w:val="0"/>
              <w:autoSpaceDE/>
              <w:autoSpaceDN/>
              <w:bidi w:val="0"/>
              <w:adjustRightInd/>
              <w:snapToGrid/>
              <w:spacing w:line="590" w:lineRule="exact"/>
              <w:rPr>
                <w:rFonts w:hint="eastAsia" w:ascii="方正黑体_GBK" w:hAnsi="方正黑体_GBK" w:eastAsia="方正黑体_GBK" w:cs="方正黑体_GBK"/>
                <w:b w:val="0"/>
                <w:bCs w:val="0"/>
                <w:sz w:val="24"/>
                <w:szCs w:val="24"/>
                <w:u w:val="none" w:color="auto"/>
              </w:rPr>
            </w:pPr>
          </w:p>
        </w:tc>
      </w:tr>
      <w:tr w14:paraId="6B01E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0" w:hRule="atLeast"/>
          <w:jc w:val="center"/>
        </w:trPr>
        <w:tc>
          <w:tcPr>
            <w:tcW w:w="233" w:type="pct"/>
            <w:vMerge w:val="restart"/>
            <w:noWrap w:val="0"/>
            <w:vAlign w:val="center"/>
          </w:tcPr>
          <w:p w14:paraId="42B20E3D">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 xml:space="preserve">砖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 xml:space="preserve">混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 xml:space="preserve">结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构</w:t>
            </w:r>
          </w:p>
        </w:tc>
        <w:tc>
          <w:tcPr>
            <w:tcW w:w="264" w:type="pct"/>
            <w:noWrap w:val="0"/>
            <w:vAlign w:val="center"/>
          </w:tcPr>
          <w:p w14:paraId="7A4EF864">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一</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1962" w:type="pct"/>
            <w:noWrap w:val="0"/>
            <w:vAlign w:val="center"/>
          </w:tcPr>
          <w:p w14:paraId="5EF98CB4">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1.钢筋砼基础；2.24cm及以上砖墙及钢筋砼柱</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构造柱</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承重；3.钢筋砼梁</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圈梁</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，钢筋砼楼梯；4.钢筋砼屋面，水泥砂浆楼地面；5.铝合金、塑钢或钢窗，木门。层高2.8-3.3m的成套单元式住宅。</w:t>
            </w:r>
          </w:p>
        </w:tc>
        <w:tc>
          <w:tcPr>
            <w:tcW w:w="2016" w:type="pct"/>
            <w:noWrap w:val="0"/>
            <w:vAlign w:val="center"/>
          </w:tcPr>
          <w:p w14:paraId="2F80C135">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1.外墙水泥砂浆抹面贴瓷砖、马赛克或喷涂高级涂料；2.内墙中等抹灰刷涂料，顶棚底板抹灰刷涂料；3.独用给排水，独用卫生间；4.电照暗线铺设，有避雷装置。</w:t>
            </w:r>
          </w:p>
        </w:tc>
        <w:tc>
          <w:tcPr>
            <w:tcW w:w="523" w:type="pct"/>
            <w:noWrap w:val="0"/>
            <w:vAlign w:val="center"/>
          </w:tcPr>
          <w:p w14:paraId="48B1F085">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810</w:t>
            </w:r>
          </w:p>
        </w:tc>
      </w:tr>
      <w:tr w14:paraId="0BE6F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6" w:hRule="atLeast"/>
          <w:jc w:val="center"/>
        </w:trPr>
        <w:tc>
          <w:tcPr>
            <w:tcW w:w="233" w:type="pct"/>
            <w:vMerge w:val="continue"/>
            <w:noWrap w:val="0"/>
            <w:vAlign w:val="center"/>
          </w:tcPr>
          <w:p w14:paraId="2FCC5272">
            <w:pPr>
              <w:keepNext w:val="0"/>
              <w:keepLines w:val="0"/>
              <w:pageBreakBefore w:val="0"/>
              <w:widowControl w:val="0"/>
              <w:kinsoku/>
              <w:wordWrap/>
              <w:overflowPunct/>
              <w:topLinePunct w:val="0"/>
              <w:autoSpaceDE/>
              <w:autoSpaceDN/>
              <w:bidi w:val="0"/>
              <w:adjustRightInd/>
              <w:snapToGrid/>
              <w:spacing w:line="590" w:lineRule="exact"/>
              <w:jc w:val="center"/>
              <w:rPr>
                <w:rFonts w:hint="eastAsia" w:ascii="方正黑体_GBK" w:hAnsi="方正黑体_GBK" w:eastAsia="方正黑体_GBK" w:cs="方正黑体_GBK"/>
                <w:b w:val="0"/>
                <w:bCs w:val="0"/>
                <w:sz w:val="24"/>
                <w:szCs w:val="24"/>
                <w:u w:val="none" w:color="auto"/>
              </w:rPr>
            </w:pPr>
          </w:p>
        </w:tc>
        <w:tc>
          <w:tcPr>
            <w:tcW w:w="264" w:type="pct"/>
            <w:noWrap w:val="0"/>
            <w:vAlign w:val="center"/>
          </w:tcPr>
          <w:p w14:paraId="29C65280">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pacing w:val="-81"/>
                <w:w w:val="4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二</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1962" w:type="pct"/>
            <w:noWrap w:val="0"/>
            <w:vAlign w:val="center"/>
          </w:tcPr>
          <w:p w14:paraId="6E6B1C92">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3"/>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1.钢筋砼基础或砖基础；2.24cm及以上砖墙；3.钢筋砼屋面，水泥砂浆楼地面；4.铝合金、钢或木制窗、木门。层高2.8-3.3m的低层或多层建筑物。</w:t>
            </w:r>
          </w:p>
        </w:tc>
        <w:tc>
          <w:tcPr>
            <w:tcW w:w="2016" w:type="pct"/>
            <w:noWrap w:val="0"/>
            <w:vAlign w:val="center"/>
          </w:tcPr>
          <w:p w14:paraId="45B0ED23">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2"/>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1.外墙水刷石或水泥砂浆抹面；2.内墙抹灰刷涂料，顶棚底板抹灰刷涂料；3.有给排水、卫生设施及照明用电。</w:t>
            </w:r>
          </w:p>
        </w:tc>
        <w:tc>
          <w:tcPr>
            <w:tcW w:w="523" w:type="pct"/>
            <w:noWrap w:val="0"/>
            <w:vAlign w:val="center"/>
          </w:tcPr>
          <w:p w14:paraId="3C346A7B">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700</w:t>
            </w:r>
          </w:p>
        </w:tc>
      </w:tr>
      <w:tr w14:paraId="52EE0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6" w:hRule="atLeast"/>
          <w:jc w:val="center"/>
        </w:trPr>
        <w:tc>
          <w:tcPr>
            <w:tcW w:w="233" w:type="pct"/>
            <w:vMerge w:val="continue"/>
            <w:tcBorders>
              <w:bottom w:val="single" w:color="auto" w:sz="4" w:space="0"/>
            </w:tcBorders>
            <w:noWrap w:val="0"/>
            <w:vAlign w:val="center"/>
          </w:tcPr>
          <w:p w14:paraId="4F29B071">
            <w:pPr>
              <w:keepNext w:val="0"/>
              <w:keepLines w:val="0"/>
              <w:pageBreakBefore w:val="0"/>
              <w:widowControl w:val="0"/>
              <w:kinsoku/>
              <w:wordWrap/>
              <w:overflowPunct/>
              <w:topLinePunct w:val="0"/>
              <w:autoSpaceDE/>
              <w:autoSpaceDN/>
              <w:bidi w:val="0"/>
              <w:adjustRightInd/>
              <w:snapToGrid/>
              <w:spacing w:line="590" w:lineRule="exact"/>
              <w:jc w:val="center"/>
              <w:rPr>
                <w:rFonts w:hint="eastAsia" w:ascii="方正黑体_GBK" w:hAnsi="方正黑体_GBK" w:eastAsia="方正黑体_GBK" w:cs="方正黑体_GBK"/>
                <w:b w:val="0"/>
                <w:bCs w:val="0"/>
                <w:sz w:val="24"/>
                <w:szCs w:val="24"/>
                <w:u w:val="none" w:color="auto"/>
              </w:rPr>
            </w:pPr>
          </w:p>
        </w:tc>
        <w:tc>
          <w:tcPr>
            <w:tcW w:w="264" w:type="pct"/>
            <w:noWrap w:val="0"/>
            <w:vAlign w:val="center"/>
          </w:tcPr>
          <w:p w14:paraId="0AEFA189">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pacing w:val="-81"/>
                <w:w w:val="4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三</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1962" w:type="pct"/>
            <w:noWrap w:val="0"/>
            <w:vAlign w:val="center"/>
          </w:tcPr>
          <w:p w14:paraId="26E86C75">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3"/>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1.砖基础；2.18cm、24cm砖墙或砖柱承重；3.砼屋面，水泥砂浆楼地面；4.木制窗、木门。结构简单的低层建筑物。层</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檐</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高2.6-3.0m。</w:t>
            </w:r>
          </w:p>
        </w:tc>
        <w:tc>
          <w:tcPr>
            <w:tcW w:w="2016" w:type="pct"/>
            <w:noWrap w:val="0"/>
            <w:vAlign w:val="center"/>
          </w:tcPr>
          <w:p w14:paraId="3D2AC95D">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2"/>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1.外墙水泥砂浆抹面或清水墙；2.内墙抹灰刷涂料，顶棚底板抹灰刷涂料；3.有给排水设施及照明用电。</w:t>
            </w:r>
          </w:p>
        </w:tc>
        <w:tc>
          <w:tcPr>
            <w:tcW w:w="523" w:type="pct"/>
            <w:noWrap w:val="0"/>
            <w:vAlign w:val="center"/>
          </w:tcPr>
          <w:p w14:paraId="22C6335C">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610</w:t>
            </w:r>
          </w:p>
        </w:tc>
      </w:tr>
      <w:tr w14:paraId="151D8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0" w:hRule="atLeast"/>
          <w:jc w:val="center"/>
        </w:trPr>
        <w:tc>
          <w:tcPr>
            <w:tcW w:w="233" w:type="pct"/>
            <w:vMerge w:val="restart"/>
            <w:tcBorders>
              <w:top w:val="single" w:color="auto" w:sz="4" w:space="0"/>
              <w:left w:val="single" w:color="auto" w:sz="4" w:space="0"/>
              <w:bottom w:val="single" w:color="auto" w:sz="4" w:space="0"/>
              <w:right w:val="single" w:color="auto" w:sz="4" w:space="0"/>
            </w:tcBorders>
            <w:noWrap w:val="0"/>
            <w:vAlign w:val="center"/>
          </w:tcPr>
          <w:p w14:paraId="2F0C3B69">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 xml:space="preserve">砖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 xml:space="preserve">木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 xml:space="preserve">结 </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构</w:t>
            </w:r>
          </w:p>
        </w:tc>
        <w:tc>
          <w:tcPr>
            <w:tcW w:w="264" w:type="pct"/>
            <w:tcBorders>
              <w:left w:val="single" w:color="auto" w:sz="4" w:space="0"/>
            </w:tcBorders>
            <w:noWrap w:val="0"/>
            <w:vAlign w:val="center"/>
          </w:tcPr>
          <w:p w14:paraId="06273D18">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pacing w:val="-81"/>
                <w:w w:val="4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一</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1962" w:type="pct"/>
            <w:noWrap w:val="0"/>
            <w:vAlign w:val="center"/>
          </w:tcPr>
          <w:p w14:paraId="46F77FA6">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3"/>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1.钢筋砼基础或砖基础；2.24cm及以上砖墙或砖柱承重；3.钢筋砼梁</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圈梁</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木、砼或钢屋架；4.带屋面板的瓦屋面，水泥砂浆地面；5.铝合金、塑钢或木制窗，木门。檐高2.6-3.0m的成套住宅。</w:t>
            </w:r>
          </w:p>
        </w:tc>
        <w:tc>
          <w:tcPr>
            <w:tcW w:w="2016" w:type="pct"/>
            <w:noWrap w:val="0"/>
            <w:vAlign w:val="center"/>
          </w:tcPr>
          <w:p w14:paraId="0DC2D9A6">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2"/>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1.外墙水泥砂浆抹面贴瓷砖、马赛克或喷涂高级涂料；2.内墙中等抹灰刷涂料，顶棚底板抹灰刷涂料；3.独用给排水，独用卫生间；4.电照暗线铺设，有避雷装置。</w:t>
            </w:r>
          </w:p>
        </w:tc>
        <w:tc>
          <w:tcPr>
            <w:tcW w:w="523" w:type="pct"/>
            <w:noWrap w:val="0"/>
            <w:vAlign w:val="center"/>
          </w:tcPr>
          <w:p w14:paraId="0B9BA84A">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680</w:t>
            </w:r>
          </w:p>
        </w:tc>
      </w:tr>
      <w:tr w14:paraId="2DF70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0" w:hRule="atLeast"/>
          <w:jc w:val="center"/>
        </w:trPr>
        <w:tc>
          <w:tcPr>
            <w:tcW w:w="233" w:type="pct"/>
            <w:vMerge w:val="continue"/>
            <w:tcBorders>
              <w:top w:val="single" w:color="auto" w:sz="4" w:space="0"/>
              <w:left w:val="single" w:color="auto" w:sz="4" w:space="0"/>
              <w:bottom w:val="single" w:color="auto" w:sz="4" w:space="0"/>
              <w:right w:val="single" w:color="auto" w:sz="4" w:space="0"/>
            </w:tcBorders>
            <w:noWrap w:val="0"/>
            <w:vAlign w:val="center"/>
          </w:tcPr>
          <w:p w14:paraId="62166978">
            <w:pPr>
              <w:keepNext w:val="0"/>
              <w:keepLines w:val="0"/>
              <w:pageBreakBefore w:val="0"/>
              <w:widowControl w:val="0"/>
              <w:kinsoku/>
              <w:wordWrap/>
              <w:overflowPunct/>
              <w:topLinePunct w:val="0"/>
              <w:autoSpaceDE/>
              <w:autoSpaceDN/>
              <w:bidi w:val="0"/>
              <w:adjustRightInd/>
              <w:snapToGrid/>
              <w:spacing w:line="590" w:lineRule="exact"/>
              <w:jc w:val="center"/>
              <w:rPr>
                <w:rFonts w:hint="eastAsia" w:ascii="方正黑体_GBK" w:hAnsi="方正黑体_GBK" w:eastAsia="方正黑体_GBK" w:cs="方正黑体_GBK"/>
                <w:b w:val="0"/>
                <w:bCs w:val="0"/>
                <w:sz w:val="24"/>
                <w:szCs w:val="24"/>
                <w:u w:val="none" w:color="auto"/>
              </w:rPr>
            </w:pPr>
          </w:p>
        </w:tc>
        <w:tc>
          <w:tcPr>
            <w:tcW w:w="264" w:type="pct"/>
            <w:tcBorders>
              <w:left w:val="single" w:color="auto" w:sz="4" w:space="0"/>
            </w:tcBorders>
            <w:noWrap w:val="0"/>
            <w:vAlign w:val="center"/>
          </w:tcPr>
          <w:p w14:paraId="2A1ECA34">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pacing w:val="-81"/>
                <w:w w:val="4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二</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1962" w:type="pct"/>
            <w:noWrap w:val="0"/>
            <w:vAlign w:val="center"/>
          </w:tcPr>
          <w:p w14:paraId="44420552">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3"/>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1.砖基础；2.24cm砖墙承重；3.木、砼或钢屋架、瓦屋面；4.水泥砂浆地面，普通木门窗。檐高2.6-3.0m。</w:t>
            </w:r>
          </w:p>
        </w:tc>
        <w:tc>
          <w:tcPr>
            <w:tcW w:w="2016" w:type="pct"/>
            <w:noWrap w:val="0"/>
            <w:vAlign w:val="center"/>
          </w:tcPr>
          <w:p w14:paraId="7FFBDE38">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2"/>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1.外墙清水墙或水泥砂浆抹面；2.内墙 抹灰刷涂料，顶棚底板抹灰刷涂料；3 有供水、卫生设施及照明用电。</w:t>
            </w:r>
          </w:p>
        </w:tc>
        <w:tc>
          <w:tcPr>
            <w:tcW w:w="523" w:type="pct"/>
            <w:noWrap w:val="0"/>
            <w:vAlign w:val="center"/>
          </w:tcPr>
          <w:p w14:paraId="36493C26">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600</w:t>
            </w:r>
          </w:p>
        </w:tc>
      </w:tr>
      <w:tr w14:paraId="7AB85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6" w:hRule="atLeast"/>
          <w:jc w:val="center"/>
        </w:trPr>
        <w:tc>
          <w:tcPr>
            <w:tcW w:w="233" w:type="pct"/>
            <w:vMerge w:val="continue"/>
            <w:tcBorders>
              <w:top w:val="single" w:color="auto" w:sz="4" w:space="0"/>
              <w:left w:val="single" w:color="auto" w:sz="4" w:space="0"/>
              <w:bottom w:val="single" w:color="auto" w:sz="4" w:space="0"/>
              <w:right w:val="single" w:color="auto" w:sz="4" w:space="0"/>
            </w:tcBorders>
            <w:noWrap w:val="0"/>
            <w:vAlign w:val="center"/>
          </w:tcPr>
          <w:p w14:paraId="6925F18A">
            <w:pPr>
              <w:keepNext w:val="0"/>
              <w:keepLines w:val="0"/>
              <w:pageBreakBefore w:val="0"/>
              <w:widowControl w:val="0"/>
              <w:kinsoku/>
              <w:wordWrap/>
              <w:overflowPunct/>
              <w:topLinePunct w:val="0"/>
              <w:autoSpaceDE/>
              <w:autoSpaceDN/>
              <w:bidi w:val="0"/>
              <w:adjustRightInd/>
              <w:snapToGrid/>
              <w:spacing w:line="590" w:lineRule="exact"/>
              <w:jc w:val="center"/>
              <w:rPr>
                <w:rFonts w:hint="eastAsia" w:ascii="方正黑体_GBK" w:hAnsi="方正黑体_GBK" w:eastAsia="方正黑体_GBK" w:cs="方正黑体_GBK"/>
                <w:b w:val="0"/>
                <w:bCs w:val="0"/>
                <w:sz w:val="24"/>
                <w:szCs w:val="24"/>
                <w:u w:val="none" w:color="auto"/>
              </w:rPr>
            </w:pPr>
          </w:p>
        </w:tc>
        <w:tc>
          <w:tcPr>
            <w:tcW w:w="264" w:type="pct"/>
            <w:tcBorders>
              <w:left w:val="single" w:color="auto" w:sz="4" w:space="0"/>
            </w:tcBorders>
            <w:noWrap w:val="0"/>
            <w:vAlign w:val="center"/>
          </w:tcPr>
          <w:p w14:paraId="469C15B7">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方正黑体_GBK" w:hAnsi="方正黑体_GBK" w:eastAsia="方正黑体_GBK" w:cs="方正黑体_GBK"/>
                <w:b w:val="0"/>
                <w:bCs w:val="0"/>
                <w:spacing w:val="-81"/>
                <w:w w:val="4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三</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等</w:t>
            </w:r>
          </w:p>
        </w:tc>
        <w:tc>
          <w:tcPr>
            <w:tcW w:w="1962" w:type="pct"/>
            <w:noWrap w:val="0"/>
            <w:vAlign w:val="center"/>
          </w:tcPr>
          <w:p w14:paraId="1F95A30C">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3"/>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1.砖基础；2.18cm、24cm砖墙或24cm 以上粘土墙承重</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或借一面墙</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3.木、砼或钢屋架，瓦或油毡或其它屋面；4.水泥砂浆或砖铺地面，木门窗。檐高2.6-3.0m。</w:t>
            </w:r>
          </w:p>
        </w:tc>
        <w:tc>
          <w:tcPr>
            <w:tcW w:w="2016" w:type="pct"/>
            <w:noWrap w:val="0"/>
            <w:vAlign w:val="center"/>
          </w:tcPr>
          <w:p w14:paraId="2830561A">
            <w:pPr>
              <w:keepNext w:val="0"/>
              <w:keepLines w:val="0"/>
              <w:pageBreakBefore w:val="0"/>
              <w:widowControl w:val="0"/>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b w:val="0"/>
                <w:bCs w:val="0"/>
                <w:spacing w:val="2"/>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1.外墙清水墙或水泥砂浆抹面；2.内墙抹灰；3.有照明用电。</w:t>
            </w:r>
          </w:p>
        </w:tc>
        <w:tc>
          <w:tcPr>
            <w:tcW w:w="523" w:type="pct"/>
            <w:noWrap w:val="0"/>
            <w:vAlign w:val="center"/>
          </w:tcPr>
          <w:p w14:paraId="7B45F695">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500</w:t>
            </w:r>
          </w:p>
        </w:tc>
      </w:tr>
    </w:tbl>
    <w:p w14:paraId="065AC727">
      <w:pPr>
        <w:pStyle w:val="2"/>
        <w:rPr>
          <w:rFonts w:hint="default"/>
        </w:rPr>
      </w:pPr>
    </w:p>
    <w:p w14:paraId="112C3E0C">
      <w:pPr>
        <w:pStyle w:val="2"/>
        <w:ind w:left="0" w:leftChars="0" w:firstLine="0" w:firstLineChars="0"/>
        <w:rPr>
          <w:rFonts w:hint="default"/>
        </w:rPr>
      </w:pPr>
    </w:p>
    <w:tbl>
      <w:tblPr>
        <w:tblStyle w:val="14"/>
        <w:tblW w:w="49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3"/>
        <w:gridCol w:w="463"/>
        <w:gridCol w:w="3090"/>
        <w:gridCol w:w="3047"/>
        <w:gridCol w:w="1879"/>
      </w:tblGrid>
      <w:tr w14:paraId="417BF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jc w:val="center"/>
        </w:trPr>
        <w:tc>
          <w:tcPr>
            <w:tcW w:w="183" w:type="pct"/>
            <w:vMerge w:val="restart"/>
            <w:tcBorders>
              <w:bottom w:val="nil"/>
            </w:tcBorders>
            <w:noWrap w:val="0"/>
            <w:vAlign w:val="center"/>
          </w:tcPr>
          <w:p w14:paraId="5A6554D3">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类 别</w:t>
            </w:r>
          </w:p>
        </w:tc>
        <w:tc>
          <w:tcPr>
            <w:tcW w:w="262" w:type="pct"/>
            <w:vMerge w:val="restart"/>
            <w:tcBorders>
              <w:bottom w:val="nil"/>
            </w:tcBorders>
            <w:noWrap w:val="0"/>
            <w:vAlign w:val="center"/>
          </w:tcPr>
          <w:p w14:paraId="63270181">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级 别</w:t>
            </w:r>
          </w:p>
        </w:tc>
        <w:tc>
          <w:tcPr>
            <w:tcW w:w="3486" w:type="pct"/>
            <w:gridSpan w:val="2"/>
            <w:noWrap w:val="0"/>
            <w:vAlign w:val="center"/>
          </w:tcPr>
          <w:p w14:paraId="6973790F">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基础、结构、设备及装饰状况</w:t>
            </w:r>
          </w:p>
        </w:tc>
        <w:tc>
          <w:tcPr>
            <w:tcW w:w="1067" w:type="pct"/>
            <w:vMerge w:val="restart"/>
            <w:noWrap w:val="0"/>
            <w:vAlign w:val="center"/>
          </w:tcPr>
          <w:p w14:paraId="06949D12">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color w:val="000000"/>
                <w:kern w:val="0"/>
                <w:sz w:val="24"/>
                <w:szCs w:val="24"/>
                <w:u w:val="none" w:color="auto"/>
                <w:lang w:bidi="ar"/>
              </w:rPr>
            </w:pPr>
            <w:r>
              <w:rPr>
                <w:rFonts w:hint="eastAsia" w:ascii="方正黑体_GBK" w:hAnsi="方正黑体_GBK" w:eastAsia="方正黑体_GBK" w:cs="方正黑体_GBK"/>
                <w:b w:val="0"/>
                <w:bCs w:val="0"/>
                <w:color w:val="000000"/>
                <w:kern w:val="0"/>
                <w:sz w:val="24"/>
                <w:szCs w:val="24"/>
                <w:u w:val="none" w:color="auto"/>
                <w:lang w:val="en-US" w:eastAsia="zh-CN" w:bidi="ar"/>
              </w:rPr>
              <w:t>补偿标准</w:t>
            </w:r>
            <w:r>
              <w:rPr>
                <w:rFonts w:hint="eastAsia" w:ascii="方正黑体_GBK" w:hAnsi="方正黑体_GBK" w:eastAsia="方正黑体_GBK" w:cs="方正黑体_GBK"/>
                <w:b w:val="0"/>
                <w:bCs w:val="0"/>
                <w:color w:val="000000"/>
                <w:kern w:val="0"/>
                <w:sz w:val="24"/>
                <w:szCs w:val="24"/>
                <w:u w:val="none" w:color="auto"/>
                <w:lang w:eastAsia="zh-CN" w:bidi="ar"/>
              </w:rPr>
              <w:t>（元/m²）</w:t>
            </w:r>
          </w:p>
        </w:tc>
      </w:tr>
      <w:tr w14:paraId="3AF33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jc w:val="center"/>
        </w:trPr>
        <w:tc>
          <w:tcPr>
            <w:tcW w:w="183" w:type="pct"/>
            <w:vMerge w:val="continue"/>
            <w:tcBorders>
              <w:top w:val="nil"/>
            </w:tcBorders>
            <w:noWrap w:val="0"/>
            <w:vAlign w:val="top"/>
          </w:tcPr>
          <w:p w14:paraId="023438EA">
            <w:pPr>
              <w:keepLines w:val="0"/>
              <w:pageBreakBefore w:val="0"/>
              <w:kinsoku/>
              <w:wordWrap/>
              <w:overflowPunct/>
              <w:topLinePunct w:val="0"/>
              <w:bidi w:val="0"/>
              <w:adjustRightInd/>
              <w:snapToGrid/>
              <w:spacing w:line="590" w:lineRule="exact"/>
              <w:rPr>
                <w:rFonts w:hint="eastAsia" w:ascii="方正黑体_GBK" w:hAnsi="方正黑体_GBK" w:eastAsia="方正黑体_GBK" w:cs="方正黑体_GBK"/>
                <w:b w:val="0"/>
                <w:bCs w:val="0"/>
                <w:sz w:val="24"/>
                <w:szCs w:val="24"/>
                <w:u w:val="none" w:color="auto"/>
              </w:rPr>
            </w:pPr>
          </w:p>
        </w:tc>
        <w:tc>
          <w:tcPr>
            <w:tcW w:w="262" w:type="pct"/>
            <w:vMerge w:val="continue"/>
            <w:tcBorders>
              <w:top w:val="nil"/>
            </w:tcBorders>
            <w:noWrap w:val="0"/>
            <w:vAlign w:val="top"/>
          </w:tcPr>
          <w:p w14:paraId="54E6959E">
            <w:pPr>
              <w:keepLines w:val="0"/>
              <w:pageBreakBefore w:val="0"/>
              <w:kinsoku/>
              <w:wordWrap/>
              <w:overflowPunct/>
              <w:topLinePunct w:val="0"/>
              <w:bidi w:val="0"/>
              <w:adjustRightInd/>
              <w:snapToGrid/>
              <w:spacing w:line="590" w:lineRule="exact"/>
              <w:rPr>
                <w:rFonts w:hint="eastAsia" w:ascii="方正黑体_GBK" w:hAnsi="方正黑体_GBK" w:eastAsia="方正黑体_GBK" w:cs="方正黑体_GBK"/>
                <w:b w:val="0"/>
                <w:bCs w:val="0"/>
                <w:sz w:val="24"/>
                <w:szCs w:val="24"/>
                <w:u w:val="none" w:color="auto"/>
              </w:rPr>
            </w:pPr>
          </w:p>
        </w:tc>
        <w:tc>
          <w:tcPr>
            <w:tcW w:w="1755" w:type="pct"/>
            <w:noWrap w:val="0"/>
            <w:vAlign w:val="center"/>
          </w:tcPr>
          <w:p w14:paraId="451B8619">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spacing w:val="-7"/>
                <w:sz w:val="24"/>
                <w:szCs w:val="24"/>
                <w:u w:val="none" w:color="auto"/>
              </w:rPr>
              <w:t>主</w:t>
            </w:r>
            <w:r>
              <w:rPr>
                <w:rFonts w:hint="eastAsia" w:ascii="方正黑体_GBK" w:hAnsi="方正黑体_GBK" w:eastAsia="方正黑体_GBK" w:cs="方正黑体_GBK"/>
                <w:b w:val="0"/>
                <w:bCs w:val="0"/>
                <w:spacing w:val="12"/>
                <w:sz w:val="24"/>
                <w:szCs w:val="24"/>
                <w:u w:val="none" w:color="auto"/>
              </w:rPr>
              <w:t xml:space="preserve">  </w:t>
            </w:r>
            <w:r>
              <w:rPr>
                <w:rFonts w:hint="eastAsia" w:ascii="方正黑体_GBK" w:hAnsi="方正黑体_GBK" w:eastAsia="方正黑体_GBK" w:cs="方正黑体_GBK"/>
                <w:b w:val="0"/>
                <w:bCs w:val="0"/>
                <w:spacing w:val="-7"/>
                <w:sz w:val="24"/>
                <w:szCs w:val="24"/>
                <w:u w:val="none" w:color="auto"/>
              </w:rPr>
              <w:t>项</w:t>
            </w:r>
          </w:p>
        </w:tc>
        <w:tc>
          <w:tcPr>
            <w:tcW w:w="1731" w:type="pct"/>
            <w:noWrap w:val="0"/>
            <w:vAlign w:val="center"/>
          </w:tcPr>
          <w:p w14:paraId="02E88624">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spacing w:val="-7"/>
                <w:sz w:val="24"/>
                <w:szCs w:val="24"/>
                <w:u w:val="none" w:color="auto"/>
              </w:rPr>
              <w:t>辅</w:t>
            </w:r>
            <w:r>
              <w:rPr>
                <w:rFonts w:hint="eastAsia" w:ascii="方正黑体_GBK" w:hAnsi="方正黑体_GBK" w:eastAsia="方正黑体_GBK" w:cs="方正黑体_GBK"/>
                <w:b w:val="0"/>
                <w:bCs w:val="0"/>
                <w:spacing w:val="12"/>
                <w:sz w:val="24"/>
                <w:szCs w:val="24"/>
                <w:u w:val="none" w:color="auto"/>
              </w:rPr>
              <w:t xml:space="preserve">  </w:t>
            </w:r>
            <w:r>
              <w:rPr>
                <w:rFonts w:hint="eastAsia" w:ascii="方正黑体_GBK" w:hAnsi="方正黑体_GBK" w:eastAsia="方正黑体_GBK" w:cs="方正黑体_GBK"/>
                <w:b w:val="0"/>
                <w:bCs w:val="0"/>
                <w:spacing w:val="-7"/>
                <w:sz w:val="24"/>
                <w:szCs w:val="24"/>
                <w:u w:val="none" w:color="auto"/>
              </w:rPr>
              <w:t>项</w:t>
            </w:r>
          </w:p>
        </w:tc>
        <w:tc>
          <w:tcPr>
            <w:tcW w:w="1067" w:type="pct"/>
            <w:vMerge w:val="continue"/>
            <w:noWrap w:val="0"/>
            <w:vAlign w:val="top"/>
          </w:tcPr>
          <w:p w14:paraId="2B87896D">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color w:val="000000"/>
                <w:kern w:val="0"/>
                <w:sz w:val="24"/>
                <w:szCs w:val="24"/>
                <w:u w:val="none" w:color="auto"/>
                <w:lang w:bidi="ar"/>
              </w:rPr>
            </w:pPr>
          </w:p>
        </w:tc>
      </w:tr>
      <w:tr w14:paraId="49600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6" w:hRule="atLeast"/>
          <w:jc w:val="center"/>
        </w:trPr>
        <w:tc>
          <w:tcPr>
            <w:tcW w:w="183" w:type="pct"/>
            <w:vMerge w:val="restart"/>
            <w:noWrap w:val="0"/>
            <w:vAlign w:val="center"/>
          </w:tcPr>
          <w:p w14:paraId="3730B3A1">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简易</w:t>
            </w:r>
            <w:r>
              <w:rPr>
                <w:rFonts w:hint="eastAsia" w:ascii="方正黑体_GBK" w:hAnsi="方正黑体_GBK" w:eastAsia="方正黑体_GBK" w:cs="方正黑体_GBK"/>
                <w:b w:val="0"/>
                <w:bCs w:val="0"/>
                <w:color w:val="000000"/>
                <w:kern w:val="0"/>
                <w:sz w:val="24"/>
                <w:szCs w:val="24"/>
                <w:u w:val="none" w:color="auto"/>
                <w:lang w:bidi="ar"/>
              </w:rPr>
              <w:br w:type="textWrapping"/>
            </w:r>
            <w:r>
              <w:rPr>
                <w:rFonts w:hint="eastAsia" w:ascii="方正黑体_GBK" w:hAnsi="方正黑体_GBK" w:eastAsia="方正黑体_GBK" w:cs="方正黑体_GBK"/>
                <w:b w:val="0"/>
                <w:bCs w:val="0"/>
                <w:color w:val="000000"/>
                <w:kern w:val="0"/>
                <w:sz w:val="24"/>
                <w:szCs w:val="24"/>
                <w:u w:val="none" w:color="auto"/>
                <w:lang w:bidi="ar"/>
              </w:rPr>
              <w:t>结构</w:t>
            </w:r>
          </w:p>
        </w:tc>
        <w:tc>
          <w:tcPr>
            <w:tcW w:w="262" w:type="pct"/>
            <w:noWrap w:val="0"/>
            <w:vAlign w:val="center"/>
          </w:tcPr>
          <w:p w14:paraId="32F2F5E9">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一</w:t>
            </w:r>
          </w:p>
          <w:p w14:paraId="4ED33C65">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spacing w:val="-81"/>
                <w:w w:val="4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等</w:t>
            </w:r>
          </w:p>
        </w:tc>
        <w:tc>
          <w:tcPr>
            <w:tcW w:w="1755" w:type="pct"/>
            <w:noWrap w:val="0"/>
            <w:vAlign w:val="center"/>
          </w:tcPr>
          <w:p w14:paraId="772A58EC">
            <w:pPr>
              <w:keepNext w:val="0"/>
              <w:keepLines w:val="0"/>
              <w:pageBreakBefore w:val="0"/>
              <w:widowControl/>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spacing w:val="3"/>
                <w:sz w:val="24"/>
                <w:szCs w:val="24"/>
                <w:u w:val="none" w:color="auto"/>
              </w:rPr>
            </w:pPr>
            <w:r>
              <w:rPr>
                <w:rFonts w:hint="default" w:ascii="Times New Roman" w:hAnsi="Times New Roman" w:eastAsia="宋体" w:cs="Times New Roman"/>
                <w:color w:val="000000"/>
                <w:kern w:val="0"/>
                <w:sz w:val="24"/>
                <w:szCs w:val="24"/>
                <w:u w:val="none" w:color="auto"/>
                <w:lang w:bidi="ar"/>
              </w:rPr>
              <w:t>1.18cm、24cm砖墙或24cm以上粘土承重墙</w:t>
            </w:r>
            <w:r>
              <w:rPr>
                <w:rFonts w:hint="eastAsia" w:ascii="Times New Roman" w:hAnsi="Times New Roman" w:eastAsia="宋体" w:cs="Times New Roman"/>
                <w:color w:val="000000"/>
                <w:kern w:val="0"/>
                <w:sz w:val="24"/>
                <w:szCs w:val="24"/>
                <w:u w:val="none" w:color="auto"/>
                <w:lang w:eastAsia="zh-CN" w:bidi="ar"/>
              </w:rPr>
              <w:t>（</w:t>
            </w:r>
            <w:r>
              <w:rPr>
                <w:rFonts w:hint="default" w:ascii="Times New Roman" w:hAnsi="Times New Roman" w:eastAsia="宋体" w:cs="Times New Roman"/>
                <w:color w:val="000000"/>
                <w:kern w:val="0"/>
                <w:sz w:val="24"/>
                <w:szCs w:val="24"/>
                <w:u w:val="none" w:color="auto"/>
                <w:lang w:bidi="ar"/>
              </w:rPr>
              <w:t>或借一面墙</w:t>
            </w:r>
            <w:r>
              <w:rPr>
                <w:rFonts w:hint="eastAsia" w:ascii="Times New Roman" w:hAnsi="Times New Roman" w:eastAsia="宋体" w:cs="Times New Roman"/>
                <w:color w:val="000000"/>
                <w:kern w:val="0"/>
                <w:sz w:val="24"/>
                <w:szCs w:val="24"/>
                <w:u w:val="none" w:color="auto"/>
                <w:lang w:eastAsia="zh-CN" w:bidi="ar"/>
              </w:rPr>
              <w:t>）</w:t>
            </w:r>
            <w:r>
              <w:rPr>
                <w:rFonts w:hint="default" w:ascii="Times New Roman" w:hAnsi="Times New Roman" w:eastAsia="宋体" w:cs="Times New Roman"/>
                <w:color w:val="000000"/>
                <w:kern w:val="0"/>
                <w:sz w:val="24"/>
                <w:szCs w:val="24"/>
                <w:u w:val="none" w:color="auto"/>
                <w:lang w:bidi="ar"/>
              </w:rPr>
              <w:t>；2</w:t>
            </w:r>
            <w:r>
              <w:rPr>
                <w:rFonts w:hint="eastAsia" w:ascii="Times New Roman" w:hAnsi="Times New Roman" w:eastAsia="宋体" w:cs="Times New Roman"/>
                <w:color w:val="000000"/>
                <w:kern w:val="0"/>
                <w:sz w:val="24"/>
                <w:szCs w:val="24"/>
                <w:u w:val="none" w:color="auto"/>
                <w:lang w:val="en-US" w:eastAsia="zh-CN" w:bidi="ar"/>
              </w:rPr>
              <w:t>.</w:t>
            </w:r>
            <w:r>
              <w:rPr>
                <w:rFonts w:hint="default" w:ascii="Times New Roman" w:hAnsi="Times New Roman" w:eastAsia="宋体" w:cs="Times New Roman"/>
                <w:color w:val="000000"/>
                <w:kern w:val="0"/>
                <w:sz w:val="24"/>
                <w:szCs w:val="24"/>
                <w:u w:val="none" w:color="auto"/>
                <w:lang w:bidi="ar"/>
              </w:rPr>
              <w:t>瓦、油毡或其他屋面；3.水泥砂浆或砖铺地面。檐高2.4-2.8米以上。</w:t>
            </w:r>
          </w:p>
        </w:tc>
        <w:tc>
          <w:tcPr>
            <w:tcW w:w="1731" w:type="pct"/>
            <w:noWrap w:val="0"/>
            <w:vAlign w:val="center"/>
          </w:tcPr>
          <w:p w14:paraId="124509C1">
            <w:pPr>
              <w:keepNext w:val="0"/>
              <w:keepLines w:val="0"/>
              <w:pageBreakBefore w:val="0"/>
              <w:widowControl/>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spacing w:val="2"/>
                <w:sz w:val="24"/>
                <w:szCs w:val="24"/>
                <w:u w:val="none" w:color="auto"/>
              </w:rPr>
            </w:pPr>
            <w:r>
              <w:rPr>
                <w:rFonts w:hint="default" w:ascii="Times New Roman" w:hAnsi="Times New Roman" w:eastAsia="宋体" w:cs="Times New Roman"/>
                <w:color w:val="000000"/>
                <w:kern w:val="0"/>
                <w:sz w:val="24"/>
                <w:szCs w:val="24"/>
                <w:u w:val="none" w:color="auto"/>
                <w:lang w:bidi="ar"/>
              </w:rPr>
              <w:t>1.外墙清水墙或水泥砂浆抹面；2.内墙抹灰；3.木门窗；4.有照明用电。</w:t>
            </w:r>
          </w:p>
        </w:tc>
        <w:tc>
          <w:tcPr>
            <w:tcW w:w="1067" w:type="pct"/>
            <w:noWrap w:val="0"/>
            <w:vAlign w:val="center"/>
          </w:tcPr>
          <w:p w14:paraId="63D62581">
            <w:pPr>
              <w:keepLines w:val="0"/>
              <w:pageBreakBefore w:val="0"/>
              <w:widowControl/>
              <w:kinsoku/>
              <w:wordWrap/>
              <w:overflowPunct/>
              <w:topLinePunct w:val="0"/>
              <w:bidi w:val="0"/>
              <w:adjustRightInd/>
              <w:snapToGrid/>
              <w:spacing w:line="590" w:lineRule="exact"/>
              <w:jc w:val="center"/>
              <w:textAlignment w:val="center"/>
              <w:rPr>
                <w:rFonts w:hint="default" w:ascii="Times New Roman" w:hAnsi="Times New Roman" w:eastAsia="宋体" w:cs="Times New Roman"/>
                <w:color w:val="000000"/>
                <w:kern w:val="0"/>
                <w:sz w:val="24"/>
                <w:szCs w:val="24"/>
                <w:u w:val="none" w:color="auto"/>
                <w:lang w:bidi="ar"/>
              </w:rPr>
            </w:pPr>
            <w:r>
              <w:rPr>
                <w:rFonts w:hint="eastAsia" w:ascii="Times New Roman" w:hAnsi="Times New Roman" w:eastAsia="宋体" w:cs="Times New Roman"/>
                <w:color w:val="000000"/>
                <w:kern w:val="0"/>
                <w:sz w:val="24"/>
                <w:szCs w:val="24"/>
                <w:highlight w:val="none"/>
                <w:u w:val="none" w:color="auto"/>
                <w:lang w:val="en-US" w:eastAsia="zh-CN" w:bidi="ar"/>
              </w:rPr>
              <w:t>340</w:t>
            </w:r>
          </w:p>
        </w:tc>
      </w:tr>
      <w:tr w14:paraId="0C731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7" w:hRule="atLeast"/>
          <w:jc w:val="center"/>
        </w:trPr>
        <w:tc>
          <w:tcPr>
            <w:tcW w:w="183" w:type="pct"/>
            <w:vMerge w:val="continue"/>
            <w:tcBorders>
              <w:bottom w:val="single" w:color="auto" w:sz="4" w:space="0"/>
            </w:tcBorders>
            <w:noWrap w:val="0"/>
            <w:vAlign w:val="center"/>
          </w:tcPr>
          <w:p w14:paraId="130E19AD">
            <w:pPr>
              <w:keepLines w:val="0"/>
              <w:pageBreakBefore w:val="0"/>
              <w:kinsoku/>
              <w:wordWrap/>
              <w:overflowPunct/>
              <w:topLinePunct w:val="0"/>
              <w:bidi w:val="0"/>
              <w:adjustRightInd/>
              <w:snapToGrid/>
              <w:spacing w:line="590" w:lineRule="exact"/>
              <w:jc w:val="center"/>
              <w:rPr>
                <w:rFonts w:hint="eastAsia" w:ascii="方正黑体_GBK" w:hAnsi="方正黑体_GBK" w:eastAsia="方正黑体_GBK" w:cs="方正黑体_GBK"/>
                <w:b w:val="0"/>
                <w:bCs w:val="0"/>
                <w:sz w:val="24"/>
                <w:szCs w:val="24"/>
                <w:u w:val="none" w:color="auto"/>
              </w:rPr>
            </w:pPr>
          </w:p>
        </w:tc>
        <w:tc>
          <w:tcPr>
            <w:tcW w:w="262" w:type="pct"/>
            <w:tcBorders>
              <w:bottom w:val="single" w:color="auto" w:sz="4" w:space="0"/>
            </w:tcBorders>
            <w:noWrap w:val="0"/>
            <w:vAlign w:val="center"/>
          </w:tcPr>
          <w:p w14:paraId="218BE993">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color w:val="000000"/>
                <w:kern w:val="0"/>
                <w:sz w:val="24"/>
                <w:szCs w:val="24"/>
                <w:u w:val="none" w:color="auto"/>
                <w:lang w:bidi="ar"/>
              </w:rPr>
            </w:pPr>
            <w:r>
              <w:rPr>
                <w:rFonts w:hint="eastAsia" w:ascii="方正黑体_GBK" w:hAnsi="方正黑体_GBK" w:eastAsia="方正黑体_GBK" w:cs="方正黑体_GBK"/>
                <w:b w:val="0"/>
                <w:bCs w:val="0"/>
                <w:color w:val="000000"/>
                <w:kern w:val="0"/>
                <w:sz w:val="24"/>
                <w:szCs w:val="24"/>
                <w:u w:val="none" w:color="auto"/>
                <w:lang w:bidi="ar"/>
              </w:rPr>
              <w:t>二</w:t>
            </w:r>
          </w:p>
          <w:p w14:paraId="28BD0AE2">
            <w:pPr>
              <w:keepLines w:val="0"/>
              <w:pageBreakBefore w:val="0"/>
              <w:widowControl/>
              <w:kinsoku/>
              <w:wordWrap/>
              <w:overflowPunct/>
              <w:topLinePunct w:val="0"/>
              <w:bidi w:val="0"/>
              <w:adjustRightInd/>
              <w:snapToGrid/>
              <w:spacing w:line="590" w:lineRule="exact"/>
              <w:jc w:val="center"/>
              <w:textAlignment w:val="center"/>
              <w:rPr>
                <w:rFonts w:hint="eastAsia" w:ascii="方正黑体_GBK" w:hAnsi="方正黑体_GBK" w:eastAsia="方正黑体_GBK" w:cs="方正黑体_GBK"/>
                <w:b w:val="0"/>
                <w:bCs w:val="0"/>
                <w:spacing w:val="-81"/>
                <w:w w:val="4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等</w:t>
            </w:r>
          </w:p>
        </w:tc>
        <w:tc>
          <w:tcPr>
            <w:tcW w:w="1755" w:type="pct"/>
            <w:noWrap w:val="0"/>
            <w:vAlign w:val="center"/>
          </w:tcPr>
          <w:p w14:paraId="3B2D6622">
            <w:pPr>
              <w:keepNext w:val="0"/>
              <w:keepLines w:val="0"/>
              <w:pageBreakBefore w:val="0"/>
              <w:widowControl/>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spacing w:val="3"/>
                <w:sz w:val="24"/>
                <w:szCs w:val="24"/>
                <w:u w:val="none" w:color="auto"/>
              </w:rPr>
            </w:pPr>
            <w:r>
              <w:rPr>
                <w:rFonts w:hint="default" w:ascii="Times New Roman" w:hAnsi="Times New Roman" w:eastAsia="宋体" w:cs="Times New Roman"/>
                <w:color w:val="000000"/>
                <w:kern w:val="0"/>
                <w:sz w:val="24"/>
                <w:szCs w:val="24"/>
                <w:u w:val="none" w:color="auto"/>
                <w:lang w:bidi="ar"/>
              </w:rPr>
              <w:t>1.18cm、24cm砖墙或24cm以上粘土承重墙</w:t>
            </w:r>
            <w:r>
              <w:rPr>
                <w:rFonts w:hint="eastAsia" w:ascii="Times New Roman" w:hAnsi="Times New Roman" w:eastAsia="宋体" w:cs="Times New Roman"/>
                <w:color w:val="000000"/>
                <w:kern w:val="0"/>
                <w:sz w:val="24"/>
                <w:szCs w:val="24"/>
                <w:u w:val="none" w:color="auto"/>
                <w:lang w:eastAsia="zh-CN" w:bidi="ar"/>
              </w:rPr>
              <w:t>（</w:t>
            </w:r>
            <w:r>
              <w:rPr>
                <w:rFonts w:hint="default" w:ascii="Times New Roman" w:hAnsi="Times New Roman" w:eastAsia="宋体" w:cs="Times New Roman"/>
                <w:color w:val="000000"/>
                <w:kern w:val="0"/>
                <w:sz w:val="24"/>
                <w:szCs w:val="24"/>
                <w:u w:val="none" w:color="auto"/>
                <w:lang w:bidi="ar"/>
              </w:rPr>
              <w:t>或借一至二面墙</w:t>
            </w:r>
            <w:r>
              <w:rPr>
                <w:rFonts w:hint="eastAsia" w:ascii="Times New Roman" w:hAnsi="Times New Roman" w:eastAsia="宋体" w:cs="Times New Roman"/>
                <w:color w:val="000000"/>
                <w:kern w:val="0"/>
                <w:sz w:val="24"/>
                <w:szCs w:val="24"/>
                <w:u w:val="none" w:color="auto"/>
                <w:lang w:eastAsia="zh-CN" w:bidi="ar"/>
              </w:rPr>
              <w:t>）</w:t>
            </w:r>
            <w:r>
              <w:rPr>
                <w:rFonts w:hint="default" w:ascii="Times New Roman" w:hAnsi="Times New Roman" w:eastAsia="宋体" w:cs="Times New Roman"/>
                <w:color w:val="000000"/>
                <w:kern w:val="0"/>
                <w:sz w:val="24"/>
                <w:szCs w:val="24"/>
                <w:u w:val="none" w:color="auto"/>
                <w:lang w:bidi="ar"/>
              </w:rPr>
              <w:t>；2.瓦、油毡或其他屋面。檐高2.2米以上。</w:t>
            </w:r>
          </w:p>
        </w:tc>
        <w:tc>
          <w:tcPr>
            <w:tcW w:w="1731" w:type="pct"/>
            <w:noWrap w:val="0"/>
            <w:vAlign w:val="center"/>
          </w:tcPr>
          <w:p w14:paraId="7A5A18A9">
            <w:pPr>
              <w:keepNext w:val="0"/>
              <w:keepLines w:val="0"/>
              <w:pageBreakBefore w:val="0"/>
              <w:widowControl/>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cs="Times New Roman"/>
                <w:spacing w:val="2"/>
                <w:sz w:val="24"/>
                <w:szCs w:val="24"/>
                <w:u w:val="none" w:color="auto"/>
              </w:rPr>
            </w:pPr>
            <w:r>
              <w:rPr>
                <w:rFonts w:hint="default" w:ascii="Times New Roman" w:hAnsi="Times New Roman" w:eastAsia="宋体" w:cs="Times New Roman"/>
                <w:color w:val="000000"/>
                <w:kern w:val="0"/>
                <w:sz w:val="24"/>
                <w:szCs w:val="24"/>
                <w:u w:val="none" w:color="auto"/>
                <w:lang w:bidi="ar"/>
              </w:rPr>
              <w:t>木门窗，照明齐全。</w:t>
            </w:r>
          </w:p>
        </w:tc>
        <w:tc>
          <w:tcPr>
            <w:tcW w:w="1067" w:type="pct"/>
            <w:noWrap w:val="0"/>
            <w:vAlign w:val="center"/>
          </w:tcPr>
          <w:p w14:paraId="3C089F52">
            <w:pPr>
              <w:keepLines w:val="0"/>
              <w:pageBreakBefore w:val="0"/>
              <w:widowControl/>
              <w:kinsoku/>
              <w:wordWrap/>
              <w:overflowPunct/>
              <w:topLinePunct w:val="0"/>
              <w:bidi w:val="0"/>
              <w:adjustRightInd/>
              <w:snapToGrid/>
              <w:spacing w:line="590" w:lineRule="exact"/>
              <w:jc w:val="center"/>
              <w:textAlignment w:val="center"/>
              <w:rPr>
                <w:rFonts w:hint="default" w:ascii="Times New Roman" w:hAnsi="Times New Roman" w:eastAsia="宋体" w:cs="Times New Roman"/>
                <w:color w:val="000000"/>
                <w:kern w:val="0"/>
                <w:sz w:val="24"/>
                <w:szCs w:val="24"/>
                <w:u w:val="none" w:color="auto"/>
                <w:lang w:bidi="ar"/>
              </w:rPr>
            </w:pPr>
            <w:r>
              <w:rPr>
                <w:rFonts w:hint="eastAsia" w:ascii="Times New Roman" w:hAnsi="Times New Roman" w:eastAsia="宋体" w:cs="Times New Roman"/>
                <w:color w:val="000000"/>
                <w:kern w:val="0"/>
                <w:sz w:val="24"/>
                <w:szCs w:val="24"/>
                <w:highlight w:val="none"/>
                <w:u w:val="none" w:color="auto"/>
                <w:lang w:val="en-US" w:eastAsia="zh-CN" w:bidi="ar"/>
              </w:rPr>
              <w:t>280</w:t>
            </w:r>
          </w:p>
        </w:tc>
      </w:tr>
      <w:tr w14:paraId="29C2C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0" w:hRule="atLeast"/>
          <w:jc w:val="center"/>
        </w:trPr>
        <w:tc>
          <w:tcPr>
            <w:tcW w:w="183" w:type="pct"/>
            <w:tcBorders>
              <w:top w:val="single" w:color="auto" w:sz="4" w:space="0"/>
              <w:left w:val="single" w:color="auto" w:sz="4" w:space="0"/>
              <w:bottom w:val="single" w:color="auto" w:sz="4" w:space="0"/>
              <w:right w:val="single" w:color="auto" w:sz="4" w:space="0"/>
            </w:tcBorders>
            <w:noWrap w:val="0"/>
            <w:vAlign w:val="center"/>
          </w:tcPr>
          <w:p w14:paraId="34C3830F">
            <w:pPr>
              <w:keepLines w:val="0"/>
              <w:pageBreakBefore w:val="0"/>
              <w:widowControl/>
              <w:kinsoku/>
              <w:wordWrap/>
              <w:overflowPunct/>
              <w:topLinePunct w:val="0"/>
              <w:bidi w:val="0"/>
              <w:adjustRightInd/>
              <w:snapToGrid/>
              <w:spacing w:line="590" w:lineRule="exact"/>
              <w:jc w:val="center"/>
              <w:textAlignment w:val="center"/>
              <w:rPr>
                <w:rFonts w:hint="default" w:ascii="Times New Roman" w:hAnsi="Times New Roman" w:cs="Times New Roman"/>
                <w:sz w:val="21"/>
                <w:szCs w:val="21"/>
                <w:u w:val="none" w:color="auto"/>
              </w:rPr>
            </w:pPr>
            <w:r>
              <w:rPr>
                <w:rFonts w:hint="eastAsia" w:ascii="方正黑体_GBK" w:hAnsi="方正黑体_GBK" w:eastAsia="方正黑体_GBK" w:cs="方正黑体_GBK"/>
                <w:b w:val="0"/>
                <w:bCs w:val="0"/>
                <w:color w:val="000000"/>
                <w:kern w:val="0"/>
                <w:sz w:val="24"/>
                <w:szCs w:val="24"/>
                <w:u w:val="none" w:color="auto"/>
                <w:lang w:bidi="ar"/>
              </w:rPr>
              <w:t>说明</w:t>
            </w:r>
          </w:p>
        </w:tc>
        <w:tc>
          <w:tcPr>
            <w:tcW w:w="4816" w:type="pct"/>
            <w:gridSpan w:val="4"/>
            <w:tcBorders>
              <w:top w:val="single" w:color="auto" w:sz="4" w:space="0"/>
              <w:left w:val="single" w:color="auto" w:sz="4" w:space="0"/>
              <w:bottom w:val="single" w:color="auto" w:sz="4" w:space="0"/>
            </w:tcBorders>
            <w:noWrap w:val="0"/>
            <w:vAlign w:val="center"/>
          </w:tcPr>
          <w:p w14:paraId="46F5BA99">
            <w:pPr>
              <w:keepNext w:val="0"/>
              <w:keepLines w:val="0"/>
              <w:pageBreakBefore w:val="0"/>
              <w:widowControl/>
              <w:kinsoku/>
              <w:wordWrap/>
              <w:overflowPunct/>
              <w:topLinePunct w:val="0"/>
              <w:autoSpaceDE/>
              <w:autoSpaceDN/>
              <w:bidi w:val="0"/>
              <w:adjustRightInd/>
              <w:snapToGrid/>
              <w:spacing w:line="590" w:lineRule="exact"/>
              <w:ind w:left="210" w:leftChars="100"/>
              <w:jc w:val="left"/>
              <w:textAlignment w:val="center"/>
              <w:rPr>
                <w:rFonts w:hint="default" w:ascii="Times New Roman" w:hAnsi="Times New Roman" w:eastAsia="宋体" w:cs="Times New Roman"/>
                <w:color w:val="000000"/>
                <w:kern w:val="0"/>
                <w:sz w:val="24"/>
                <w:szCs w:val="24"/>
                <w:u w:val="none" w:color="auto"/>
                <w:lang w:bidi="ar"/>
              </w:rPr>
            </w:pPr>
            <w:r>
              <w:rPr>
                <w:rFonts w:hint="default" w:ascii="Times New Roman" w:hAnsi="Times New Roman" w:eastAsia="宋体" w:cs="Times New Roman"/>
                <w:color w:val="000000"/>
                <w:kern w:val="0"/>
                <w:sz w:val="24"/>
                <w:szCs w:val="24"/>
                <w:u w:val="none" w:color="auto"/>
                <w:lang w:bidi="ar"/>
              </w:rPr>
              <w:t>1.建筑物在基础层（檐）高标准范围外增减10cm，建筑物重置价格增减2％</w:t>
            </w:r>
            <w:r>
              <w:rPr>
                <w:rFonts w:hint="eastAsia" w:ascii="Times New Roman" w:hAnsi="Times New Roman" w:eastAsia="宋体" w:cs="Times New Roman"/>
                <w:color w:val="000000"/>
                <w:kern w:val="0"/>
                <w:sz w:val="24"/>
                <w:szCs w:val="24"/>
                <w:u w:val="none" w:color="auto"/>
                <w:lang w:eastAsia="zh-CN" w:bidi="ar"/>
              </w:rPr>
              <w:t>，</w:t>
            </w:r>
            <w:r>
              <w:rPr>
                <w:rFonts w:hint="default" w:ascii="Times New Roman" w:hAnsi="Times New Roman" w:eastAsia="宋体" w:cs="Times New Roman"/>
                <w:color w:val="000000"/>
                <w:kern w:val="0"/>
                <w:sz w:val="24"/>
                <w:szCs w:val="24"/>
                <w:u w:val="none" w:color="auto"/>
                <w:lang w:bidi="ar"/>
              </w:rPr>
              <w:t>幅度不得超过10%。房屋层（檐）高以檐桁下沿与室内地面之间的高度计算，前后檐高不等的，以平均高度计算；</w:t>
            </w:r>
            <w:r>
              <w:rPr>
                <w:rFonts w:hint="default" w:ascii="Times New Roman" w:hAnsi="Times New Roman" w:eastAsia="宋体" w:cs="Times New Roman"/>
                <w:color w:val="000000"/>
                <w:kern w:val="0"/>
                <w:sz w:val="24"/>
                <w:szCs w:val="24"/>
                <w:u w:val="none" w:color="auto"/>
                <w:lang w:bidi="ar"/>
              </w:rPr>
              <w:br w:type="textWrapping"/>
            </w:r>
            <w:r>
              <w:rPr>
                <w:rFonts w:hint="default" w:ascii="Times New Roman" w:hAnsi="Times New Roman" w:eastAsia="宋体" w:cs="Times New Roman"/>
                <w:color w:val="000000"/>
                <w:kern w:val="0"/>
                <w:sz w:val="24"/>
                <w:szCs w:val="24"/>
                <w:u w:val="none" w:color="auto"/>
                <w:lang w:bidi="ar"/>
              </w:rPr>
              <w:t>2.房屋的结构、装修和设备状况与相应等级有较大差异时，重置价格可适当增减，但增减幅度不得超过重置价格标准的5%</w:t>
            </w:r>
            <w:r>
              <w:rPr>
                <w:rFonts w:hint="eastAsia" w:ascii="Times New Roman" w:hAnsi="Times New Roman" w:eastAsia="宋体" w:cs="Times New Roman"/>
                <w:color w:val="000000"/>
                <w:kern w:val="0"/>
                <w:sz w:val="24"/>
                <w:szCs w:val="24"/>
                <w:u w:val="none" w:color="auto"/>
                <w:lang w:eastAsia="zh-CN" w:bidi="ar"/>
              </w:rPr>
              <w:t>，</w:t>
            </w:r>
            <w:r>
              <w:rPr>
                <w:rFonts w:hint="default" w:ascii="Times New Roman" w:hAnsi="Times New Roman" w:eastAsia="宋体" w:cs="Times New Roman"/>
                <w:color w:val="000000"/>
                <w:kern w:val="0"/>
                <w:sz w:val="24"/>
                <w:szCs w:val="24"/>
                <w:u w:val="none" w:color="auto"/>
                <w:lang w:bidi="ar"/>
              </w:rPr>
              <w:t xml:space="preserve"> 整体因素调整不得超过15%；</w:t>
            </w:r>
            <w:r>
              <w:rPr>
                <w:rFonts w:hint="default" w:ascii="Times New Roman" w:hAnsi="Times New Roman" w:eastAsia="宋体" w:cs="Times New Roman"/>
                <w:color w:val="000000"/>
                <w:kern w:val="0"/>
                <w:sz w:val="24"/>
                <w:szCs w:val="24"/>
                <w:u w:val="none" w:color="auto"/>
                <w:lang w:bidi="ar"/>
              </w:rPr>
              <w:br w:type="textWrapping"/>
            </w:r>
            <w:r>
              <w:rPr>
                <w:rFonts w:hint="default" w:ascii="Times New Roman" w:hAnsi="Times New Roman" w:eastAsia="宋体" w:cs="Times New Roman"/>
                <w:color w:val="000000"/>
                <w:kern w:val="0"/>
                <w:sz w:val="24"/>
                <w:szCs w:val="24"/>
                <w:u w:val="none" w:color="auto"/>
                <w:lang w:bidi="ar"/>
              </w:rPr>
              <w:t>3.建筑物状况叙述中所包括的附属物和装修内容不另补偿；</w:t>
            </w:r>
            <w:r>
              <w:rPr>
                <w:rFonts w:hint="default" w:ascii="Times New Roman" w:hAnsi="Times New Roman" w:eastAsia="宋体" w:cs="Times New Roman"/>
                <w:color w:val="000000"/>
                <w:kern w:val="0"/>
                <w:sz w:val="24"/>
                <w:szCs w:val="24"/>
                <w:u w:val="none" w:color="auto"/>
                <w:lang w:bidi="ar"/>
              </w:rPr>
              <w:br w:type="textWrapping"/>
            </w:r>
            <w:r>
              <w:rPr>
                <w:rFonts w:hint="default" w:ascii="Times New Roman" w:hAnsi="Times New Roman" w:eastAsia="宋体" w:cs="Times New Roman"/>
                <w:color w:val="000000"/>
                <w:kern w:val="0"/>
                <w:sz w:val="24"/>
                <w:szCs w:val="24"/>
                <w:u w:val="none" w:color="auto"/>
                <w:lang w:bidi="ar"/>
              </w:rPr>
              <w:t>4.房屋（建筑物）的成新评定是由估价人员对估价对象进行现场勘查，并结合估价对象的使用年限、维护、保养、使用情况及地基的稳定性等因素综合评定，房屋成新度低于六成新的按六成新计，成新度低于五成新的按五成新计，低于四成新的按四成新计，低于三成新的按三成新计；</w:t>
            </w:r>
            <w:r>
              <w:rPr>
                <w:rFonts w:hint="default" w:ascii="Times New Roman" w:hAnsi="Times New Roman" w:eastAsia="宋体" w:cs="Times New Roman"/>
                <w:color w:val="000000"/>
                <w:kern w:val="0"/>
                <w:sz w:val="24"/>
                <w:szCs w:val="24"/>
                <w:u w:val="none" w:color="auto"/>
                <w:lang w:bidi="ar"/>
              </w:rPr>
              <w:br w:type="textWrapping"/>
            </w:r>
            <w:r>
              <w:rPr>
                <w:rFonts w:hint="default" w:ascii="Times New Roman" w:hAnsi="Times New Roman" w:eastAsia="宋体" w:cs="Times New Roman"/>
                <w:color w:val="000000"/>
                <w:kern w:val="0"/>
                <w:sz w:val="24"/>
                <w:szCs w:val="24"/>
                <w:u w:val="none" w:color="auto"/>
                <w:lang w:bidi="ar"/>
              </w:rPr>
              <w:t>5.土瓦结构按砖木结构三等进行评估；</w:t>
            </w:r>
            <w:r>
              <w:rPr>
                <w:rFonts w:hint="default" w:ascii="Times New Roman" w:hAnsi="Times New Roman" w:eastAsia="宋体" w:cs="Times New Roman"/>
                <w:color w:val="000000"/>
                <w:kern w:val="0"/>
                <w:sz w:val="24"/>
                <w:szCs w:val="24"/>
                <w:u w:val="none" w:color="auto"/>
                <w:lang w:bidi="ar"/>
              </w:rPr>
              <w:br w:type="textWrapping"/>
            </w:r>
            <w:r>
              <w:rPr>
                <w:rFonts w:hint="default" w:ascii="Times New Roman" w:hAnsi="Times New Roman" w:eastAsia="宋体" w:cs="Times New Roman"/>
                <w:color w:val="000000"/>
                <w:kern w:val="0"/>
                <w:sz w:val="24"/>
                <w:szCs w:val="24"/>
                <w:u w:val="none" w:color="auto"/>
                <w:lang w:bidi="ar"/>
              </w:rPr>
              <w:t>6.混凝土预制装配式房屋可参照此文件砖混结构价格进行评估；</w:t>
            </w:r>
            <w:r>
              <w:rPr>
                <w:rFonts w:hint="default" w:ascii="Times New Roman" w:hAnsi="Times New Roman" w:eastAsia="宋体" w:cs="Times New Roman"/>
                <w:color w:val="000000"/>
                <w:kern w:val="0"/>
                <w:sz w:val="24"/>
                <w:szCs w:val="24"/>
                <w:u w:val="none" w:color="auto"/>
                <w:lang w:bidi="ar"/>
              </w:rPr>
              <w:br w:type="textWrapping"/>
            </w:r>
            <w:r>
              <w:rPr>
                <w:rFonts w:hint="default" w:ascii="Times New Roman" w:hAnsi="Times New Roman" w:eastAsia="宋体" w:cs="Times New Roman"/>
                <w:color w:val="000000"/>
                <w:kern w:val="0"/>
                <w:sz w:val="24"/>
                <w:szCs w:val="24"/>
                <w:u w:val="none" w:color="auto"/>
                <w:lang w:bidi="ar"/>
              </w:rPr>
              <w:t>7.协商征地期间，抢建的房屋不予补偿。</w:t>
            </w:r>
          </w:p>
        </w:tc>
      </w:tr>
    </w:tbl>
    <w:p w14:paraId="215B21C2">
      <w:pPr>
        <w:rPr>
          <w:rFonts w:hint="default"/>
        </w:rPr>
      </w:pPr>
    </w:p>
    <w:p w14:paraId="419C1C63">
      <w:pPr>
        <w:pStyle w:val="2"/>
        <w:rPr>
          <w:rFonts w:hint="default"/>
        </w:rPr>
      </w:pPr>
    </w:p>
    <w:p w14:paraId="0C6973BA">
      <w:pPr>
        <w:rPr>
          <w:rFonts w:hint="default"/>
        </w:rPr>
      </w:pPr>
    </w:p>
    <w:p w14:paraId="7D9AC75A">
      <w:pPr>
        <w:pStyle w:val="2"/>
        <w:rPr>
          <w:rFonts w:hint="default"/>
        </w:rPr>
      </w:pPr>
    </w:p>
    <w:p w14:paraId="0D1315D9">
      <w:pPr>
        <w:rPr>
          <w:rFonts w:hint="default"/>
        </w:rPr>
      </w:pPr>
    </w:p>
    <w:p w14:paraId="75A9431D">
      <w:pPr>
        <w:pStyle w:val="2"/>
        <w:rPr>
          <w:rFonts w:hint="default"/>
        </w:rPr>
      </w:pPr>
    </w:p>
    <w:p w14:paraId="78AE1A45">
      <w:pPr>
        <w:rPr>
          <w:rFonts w:hint="default"/>
        </w:rPr>
      </w:pPr>
    </w:p>
    <w:p w14:paraId="44CFA0E0">
      <w:pPr>
        <w:keepNext w:val="0"/>
        <w:keepLines w:val="0"/>
        <w:pageBreakBefore w:val="0"/>
        <w:widowControl w:val="0"/>
        <w:kinsoku/>
        <w:wordWrap/>
        <w:overflowPunct/>
        <w:topLinePunct w:val="0"/>
        <w:autoSpaceDE/>
        <w:autoSpaceDN/>
        <w:bidi w:val="0"/>
        <w:adjustRightInd/>
        <w:snapToGrid/>
        <w:spacing w:line="590" w:lineRule="exact"/>
        <w:jc w:val="both"/>
        <w:textAlignment w:val="auto"/>
        <w:outlineLvl w:val="0"/>
        <w:rPr>
          <w:rFonts w:hint="default" w:ascii="Times New Roman" w:hAnsi="Times New Roman" w:eastAsia="方正黑体_GBK" w:cs="Times New Roman"/>
          <w:spacing w:val="5"/>
          <w:sz w:val="32"/>
          <w:szCs w:val="32"/>
          <w:u w:val="none" w:color="auto"/>
          <w:lang w:val="en-US"/>
        </w:rPr>
      </w:pPr>
      <w:r>
        <w:rPr>
          <w:rFonts w:hint="eastAsia" w:ascii="Times New Roman" w:hAnsi="Times New Roman" w:eastAsia="方正黑体_GBK" w:cs="Times New Roman"/>
          <w:spacing w:val="5"/>
          <w:sz w:val="32"/>
          <w:szCs w:val="32"/>
          <w:u w:val="none" w:color="auto"/>
          <w:lang w:eastAsia="zh-CN"/>
        </w:rPr>
        <w:t>附件</w:t>
      </w:r>
      <w:r>
        <w:rPr>
          <w:rFonts w:hint="default" w:ascii="Times New Roman" w:hAnsi="Times New Roman" w:eastAsia="方正黑体_GBK" w:cs="Times New Roman"/>
          <w:spacing w:val="5"/>
          <w:sz w:val="32"/>
          <w:szCs w:val="32"/>
          <w:u w:val="none" w:color="auto"/>
          <w:lang w:val="en-US" w:eastAsia="zh-CN"/>
        </w:rPr>
        <w:t>2</w:t>
      </w:r>
    </w:p>
    <w:p w14:paraId="47CB20AE">
      <w:pPr>
        <w:keepNext w:val="0"/>
        <w:keepLines w:val="0"/>
        <w:pageBreakBefore w:val="0"/>
        <w:widowControl w:val="0"/>
        <w:kinsoku/>
        <w:wordWrap/>
        <w:overflowPunct/>
        <w:topLinePunct w:val="0"/>
        <w:autoSpaceDE/>
        <w:autoSpaceDN/>
        <w:bidi w:val="0"/>
        <w:adjustRightInd/>
        <w:snapToGrid/>
        <w:spacing w:line="590" w:lineRule="exact"/>
        <w:jc w:val="center"/>
        <w:textAlignment w:val="auto"/>
        <w:outlineLvl w:val="0"/>
        <w:rPr>
          <w:rFonts w:hint="default" w:ascii="方正小标宋简体" w:hAnsi="方正小标宋简体" w:eastAsia="方正小标宋简体" w:cs="方正小标宋简体"/>
          <w:spacing w:val="5"/>
          <w:sz w:val="44"/>
          <w:szCs w:val="44"/>
          <w:u w:val="none" w:color="auto"/>
        </w:rPr>
      </w:pPr>
      <w:r>
        <w:rPr>
          <w:rFonts w:hint="default" w:ascii="方正小标宋简体" w:hAnsi="方正小标宋简体" w:eastAsia="方正小标宋简体" w:cs="方正小标宋简体"/>
          <w:spacing w:val="5"/>
          <w:sz w:val="44"/>
          <w:szCs w:val="44"/>
          <w:u w:val="none" w:color="auto"/>
        </w:rPr>
        <w:t>亳州市农村房屋装修装饰补偿标准</w:t>
      </w:r>
    </w:p>
    <w:p w14:paraId="34379FFE">
      <w:pPr>
        <w:keepLines w:val="0"/>
        <w:pageBreakBefore w:val="0"/>
        <w:kinsoku/>
        <w:wordWrap/>
        <w:overflowPunct/>
        <w:topLinePunct w:val="0"/>
        <w:bidi w:val="0"/>
        <w:adjustRightInd/>
        <w:snapToGrid/>
        <w:spacing w:line="590" w:lineRule="exact"/>
        <w:rPr>
          <w:rFonts w:hint="default" w:ascii="Times New Roman" w:hAnsi="Times New Roman" w:cs="Times New Roman"/>
          <w:u w:val="none" w:color="auto"/>
        </w:rPr>
      </w:pPr>
    </w:p>
    <w:tbl>
      <w:tblPr>
        <w:tblStyle w:val="14"/>
        <w:tblW w:w="51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05"/>
        <w:gridCol w:w="594"/>
        <w:gridCol w:w="645"/>
        <w:gridCol w:w="4741"/>
        <w:gridCol w:w="2572"/>
      </w:tblGrid>
      <w:tr w14:paraId="17B30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33" w:hRule="atLeast"/>
          <w:tblHeader/>
          <w:jc w:val="center"/>
        </w:trPr>
        <w:tc>
          <w:tcPr>
            <w:tcW w:w="963" w:type="pct"/>
            <w:gridSpan w:val="3"/>
            <w:tcBorders>
              <w:bottom w:val="single" w:color="auto" w:sz="4" w:space="0"/>
            </w:tcBorders>
            <w:noWrap w:val="0"/>
            <w:vAlign w:val="center"/>
          </w:tcPr>
          <w:p w14:paraId="5C3B2C9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项目部位</w:t>
            </w:r>
          </w:p>
        </w:tc>
        <w:tc>
          <w:tcPr>
            <w:tcW w:w="2616" w:type="pct"/>
            <w:noWrap w:val="0"/>
            <w:vAlign w:val="center"/>
          </w:tcPr>
          <w:p w14:paraId="07CBBE3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eastAsia" w:ascii="方正黑体_GBK" w:hAnsi="方正黑体_GBK" w:eastAsia="方正黑体_GBK" w:cs="方正黑体_GBK"/>
                <w:b w:val="0"/>
                <w:bCs w:val="0"/>
                <w:sz w:val="24"/>
                <w:szCs w:val="24"/>
                <w:u w:val="none" w:color="auto"/>
              </w:rPr>
            </w:pPr>
            <w:r>
              <w:rPr>
                <w:rFonts w:hint="eastAsia" w:ascii="方正黑体_GBK" w:hAnsi="方正黑体_GBK" w:eastAsia="方正黑体_GBK" w:cs="方正黑体_GBK"/>
                <w:b w:val="0"/>
                <w:bCs w:val="0"/>
                <w:color w:val="000000"/>
                <w:kern w:val="0"/>
                <w:sz w:val="24"/>
                <w:szCs w:val="24"/>
                <w:u w:val="none" w:color="auto"/>
                <w:lang w:bidi="ar"/>
              </w:rPr>
              <w:t>材料与作法说明</w:t>
            </w:r>
          </w:p>
        </w:tc>
        <w:tc>
          <w:tcPr>
            <w:tcW w:w="1419" w:type="pct"/>
            <w:noWrap w:val="0"/>
            <w:vAlign w:val="center"/>
          </w:tcPr>
          <w:p w14:paraId="7A613EE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eastAsia" w:ascii="方正黑体_GBK" w:hAnsi="方正黑体_GBK" w:eastAsia="方正黑体_GBK" w:cs="方正黑体_GBK"/>
                <w:b w:val="0"/>
                <w:bCs w:val="0"/>
                <w:color w:val="000000"/>
                <w:kern w:val="0"/>
                <w:sz w:val="24"/>
                <w:szCs w:val="24"/>
                <w:u w:val="none" w:color="auto"/>
                <w:lang w:val="en-US" w:eastAsia="zh-CN"/>
              </w:rPr>
            </w:pPr>
            <w:r>
              <w:rPr>
                <w:rFonts w:hint="eastAsia" w:ascii="方正黑体_GBK" w:hAnsi="方正黑体_GBK" w:eastAsia="方正黑体_GBK" w:cs="方正黑体_GBK"/>
                <w:b w:val="0"/>
                <w:bCs w:val="0"/>
                <w:color w:val="000000"/>
                <w:kern w:val="0"/>
                <w:sz w:val="24"/>
                <w:szCs w:val="24"/>
                <w:u w:val="none" w:color="auto"/>
                <w:lang w:val="en-US" w:eastAsia="zh-CN"/>
              </w:rPr>
              <w:t>补偿标准</w:t>
            </w:r>
          </w:p>
        </w:tc>
      </w:tr>
      <w:tr w14:paraId="6E70D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restart"/>
            <w:tcBorders>
              <w:top w:val="single" w:color="auto" w:sz="4" w:space="0"/>
              <w:left w:val="single" w:color="auto" w:sz="4" w:space="0"/>
              <w:right w:val="single" w:color="auto" w:sz="4" w:space="0"/>
            </w:tcBorders>
            <w:noWrap w:val="0"/>
            <w:vAlign w:val="center"/>
          </w:tcPr>
          <w:p w14:paraId="510F1D01">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装饰</w:t>
            </w:r>
          </w:p>
          <w:p w14:paraId="03473B19">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部</w:t>
            </w:r>
            <w:r>
              <w:rPr>
                <w:rFonts w:hint="default" w:ascii="Times New Roman" w:hAnsi="Times New Roman" w:cs="Times New Roman"/>
                <w:b w:val="0"/>
                <w:bCs w:val="0"/>
                <w:spacing w:val="-3"/>
                <w:sz w:val="24"/>
                <w:szCs w:val="24"/>
                <w:u w:val="none" w:color="auto"/>
              </w:rPr>
              <w:t>分</w:t>
            </w:r>
          </w:p>
        </w:tc>
        <w:tc>
          <w:tcPr>
            <w:tcW w:w="684"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18E34F9E">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16"/>
                <w:sz w:val="24"/>
                <w:szCs w:val="24"/>
                <w:u w:val="none" w:color="auto"/>
              </w:rPr>
            </w:pPr>
            <w:r>
              <w:rPr>
                <w:rFonts w:hint="default" w:ascii="Times New Roman" w:hAnsi="Times New Roman" w:cs="Times New Roman"/>
                <w:b w:val="0"/>
                <w:bCs w:val="0"/>
                <w:spacing w:val="-16"/>
                <w:sz w:val="24"/>
                <w:szCs w:val="24"/>
                <w:u w:val="none" w:color="auto"/>
              </w:rPr>
              <w:t>门</w:t>
            </w:r>
            <w:r>
              <w:rPr>
                <w:rFonts w:hint="eastAsia" w:ascii="Times New Roman" w:hAnsi="Times New Roman" w:cs="Times New Roman"/>
                <w:b w:val="0"/>
                <w:bCs w:val="0"/>
                <w:spacing w:val="-16"/>
                <w:sz w:val="24"/>
                <w:szCs w:val="24"/>
                <w:u w:val="none" w:color="auto"/>
                <w:lang w:val="en-US" w:eastAsia="zh-CN"/>
              </w:rPr>
              <w:t xml:space="preserve"> </w:t>
            </w:r>
            <w:r>
              <w:rPr>
                <w:rFonts w:hint="default" w:ascii="Times New Roman" w:hAnsi="Times New Roman" w:cs="Times New Roman"/>
                <w:b w:val="0"/>
                <w:bCs w:val="0"/>
                <w:spacing w:val="-16"/>
                <w:sz w:val="24"/>
                <w:szCs w:val="24"/>
                <w:u w:val="none" w:color="auto"/>
              </w:rPr>
              <w:t>窗</w:t>
            </w:r>
          </w:p>
        </w:tc>
        <w:tc>
          <w:tcPr>
            <w:tcW w:w="2616" w:type="pct"/>
            <w:tcBorders>
              <w:left w:val="single" w:color="auto" w:sz="4" w:space="0"/>
            </w:tcBorders>
            <w:noWrap w:val="0"/>
            <w:vAlign w:val="center"/>
          </w:tcPr>
          <w:p w14:paraId="1B50A3C0">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5"/>
                <w:sz w:val="24"/>
                <w:szCs w:val="24"/>
                <w:u w:val="none" w:color="auto"/>
              </w:rPr>
              <w:t>钢筋网防盗窗</w:t>
            </w:r>
          </w:p>
        </w:tc>
        <w:tc>
          <w:tcPr>
            <w:tcW w:w="1419" w:type="pct"/>
            <w:noWrap w:val="0"/>
            <w:vAlign w:val="center"/>
          </w:tcPr>
          <w:p w14:paraId="76DA3AF5">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4"/>
                <w:sz w:val="24"/>
                <w:szCs w:val="24"/>
                <w:u w:val="none" w:color="auto"/>
              </w:rPr>
            </w:pPr>
            <w:r>
              <w:rPr>
                <w:rFonts w:hint="default" w:ascii="Times New Roman" w:hAnsi="Times New Roman" w:cs="Times New Roman"/>
                <w:b w:val="0"/>
                <w:bCs w:val="0"/>
                <w:spacing w:val="4"/>
                <w:sz w:val="24"/>
                <w:szCs w:val="24"/>
                <w:u w:val="none" w:color="auto"/>
              </w:rPr>
              <w:t>60元/m²</w:t>
            </w:r>
          </w:p>
        </w:tc>
      </w:tr>
      <w:tr w14:paraId="449A8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2401843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42EA8B2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39175099">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3"/>
                <w:sz w:val="24"/>
                <w:szCs w:val="24"/>
                <w:u w:val="none" w:color="auto"/>
              </w:rPr>
              <w:t>不锈钢防盗窗</w:t>
            </w:r>
          </w:p>
        </w:tc>
        <w:tc>
          <w:tcPr>
            <w:tcW w:w="1419" w:type="pct"/>
            <w:noWrap w:val="0"/>
            <w:vAlign w:val="center"/>
          </w:tcPr>
          <w:p w14:paraId="6C41194A">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4"/>
                <w:sz w:val="24"/>
                <w:szCs w:val="24"/>
                <w:u w:val="none" w:color="auto"/>
              </w:rPr>
            </w:pPr>
            <w:r>
              <w:rPr>
                <w:rFonts w:hint="default" w:ascii="Times New Roman" w:hAnsi="Times New Roman" w:cs="Times New Roman"/>
                <w:b w:val="0"/>
                <w:bCs w:val="0"/>
                <w:spacing w:val="4"/>
                <w:sz w:val="24"/>
                <w:szCs w:val="24"/>
                <w:u w:val="none" w:color="auto"/>
              </w:rPr>
              <w:t>80元/m²</w:t>
            </w:r>
          </w:p>
        </w:tc>
      </w:tr>
      <w:tr w14:paraId="12605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57B2202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4FC5B5D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4B2A20E7">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4"/>
                <w:sz w:val="24"/>
                <w:szCs w:val="24"/>
                <w:u w:val="none" w:color="auto"/>
              </w:rPr>
              <w:t>铝合金网防盗窗</w:t>
            </w:r>
          </w:p>
        </w:tc>
        <w:tc>
          <w:tcPr>
            <w:tcW w:w="1419" w:type="pct"/>
            <w:noWrap w:val="0"/>
            <w:vAlign w:val="center"/>
          </w:tcPr>
          <w:p w14:paraId="2CFAEA9E">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eastAsia="宋体" w:cs="Times New Roman"/>
                <w:b w:val="0"/>
                <w:bCs w:val="0"/>
                <w:spacing w:val="2"/>
                <w:sz w:val="24"/>
                <w:szCs w:val="24"/>
                <w:highlight w:val="none"/>
                <w:u w:val="none" w:color="auto"/>
                <w:lang w:val="en-US" w:eastAsia="zh-CN"/>
              </w:rPr>
            </w:pPr>
            <w:r>
              <w:rPr>
                <w:rFonts w:hint="eastAsia" w:ascii="Times New Roman" w:hAnsi="Times New Roman" w:cs="Times New Roman"/>
                <w:b w:val="0"/>
                <w:bCs w:val="0"/>
                <w:spacing w:val="2"/>
                <w:sz w:val="24"/>
                <w:szCs w:val="24"/>
                <w:highlight w:val="none"/>
                <w:u w:val="none" w:color="auto"/>
                <w:lang w:val="en-US" w:eastAsia="zh-CN"/>
              </w:rPr>
              <w:t>90</w:t>
            </w:r>
            <w:r>
              <w:rPr>
                <w:rFonts w:hint="default" w:ascii="Times New Roman" w:hAnsi="Times New Roman" w:cs="Times New Roman"/>
                <w:b w:val="0"/>
                <w:bCs w:val="0"/>
                <w:spacing w:val="2"/>
                <w:sz w:val="24"/>
                <w:szCs w:val="24"/>
                <w:highlight w:val="none"/>
                <w:u w:val="none" w:color="auto"/>
              </w:rPr>
              <w:t>元/m²</w:t>
            </w:r>
          </w:p>
        </w:tc>
      </w:tr>
      <w:tr w14:paraId="54868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3AB06F2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6734E8B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7684F68B">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7"/>
                <w:sz w:val="24"/>
                <w:szCs w:val="24"/>
                <w:u w:val="none" w:color="auto"/>
              </w:rPr>
              <w:t>铝合金</w:t>
            </w:r>
            <w:r>
              <w:rPr>
                <w:rFonts w:hint="eastAsia" w:ascii="Times New Roman" w:hAnsi="Times New Roman" w:cs="Times New Roman"/>
                <w:b w:val="0"/>
                <w:bCs w:val="0"/>
                <w:spacing w:val="7"/>
                <w:sz w:val="24"/>
                <w:szCs w:val="24"/>
                <w:u w:val="none" w:color="auto"/>
                <w:lang w:eastAsia="zh-CN"/>
              </w:rPr>
              <w:t>（</w:t>
            </w:r>
            <w:r>
              <w:rPr>
                <w:rFonts w:hint="default" w:ascii="Times New Roman" w:hAnsi="Times New Roman" w:cs="Times New Roman"/>
                <w:b w:val="0"/>
                <w:bCs w:val="0"/>
                <w:spacing w:val="7"/>
                <w:sz w:val="24"/>
                <w:szCs w:val="24"/>
                <w:u w:val="none" w:color="auto"/>
              </w:rPr>
              <w:t>塑钢</w:t>
            </w:r>
            <w:r>
              <w:rPr>
                <w:rFonts w:hint="eastAsia" w:ascii="Times New Roman" w:hAnsi="Times New Roman" w:cs="Times New Roman"/>
                <w:b w:val="0"/>
                <w:bCs w:val="0"/>
                <w:spacing w:val="7"/>
                <w:sz w:val="24"/>
                <w:szCs w:val="24"/>
                <w:u w:val="none" w:color="auto"/>
                <w:lang w:eastAsia="zh-CN"/>
              </w:rPr>
              <w:t>）</w:t>
            </w:r>
            <w:r>
              <w:rPr>
                <w:rFonts w:hint="default" w:ascii="Times New Roman" w:hAnsi="Times New Roman" w:cs="Times New Roman"/>
                <w:b w:val="0"/>
                <w:bCs w:val="0"/>
                <w:spacing w:val="7"/>
                <w:sz w:val="24"/>
                <w:szCs w:val="24"/>
                <w:u w:val="none" w:color="auto"/>
              </w:rPr>
              <w:t>窗</w:t>
            </w:r>
          </w:p>
        </w:tc>
        <w:tc>
          <w:tcPr>
            <w:tcW w:w="1419" w:type="pct"/>
            <w:noWrap w:val="0"/>
            <w:vAlign w:val="center"/>
          </w:tcPr>
          <w:p w14:paraId="4CA93D1D">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4"/>
                <w:sz w:val="24"/>
                <w:szCs w:val="24"/>
                <w:u w:val="none" w:color="auto"/>
              </w:rPr>
            </w:pPr>
            <w:r>
              <w:rPr>
                <w:rFonts w:hint="default" w:ascii="Times New Roman" w:hAnsi="Times New Roman" w:cs="Times New Roman"/>
                <w:b w:val="0"/>
                <w:bCs w:val="0"/>
                <w:spacing w:val="4"/>
                <w:sz w:val="24"/>
                <w:szCs w:val="24"/>
                <w:u w:val="none" w:color="auto"/>
              </w:rPr>
              <w:t>150（90）元/m²</w:t>
            </w:r>
          </w:p>
        </w:tc>
      </w:tr>
      <w:tr w14:paraId="307D6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4E2DAC4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003D625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7CC6897A">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6"/>
                <w:sz w:val="24"/>
                <w:szCs w:val="24"/>
                <w:u w:val="none" w:color="auto"/>
              </w:rPr>
              <w:t>金属</w:t>
            </w:r>
            <w:r>
              <w:rPr>
                <w:rFonts w:hint="eastAsia" w:ascii="Times New Roman" w:hAnsi="Times New Roman" w:cs="Times New Roman"/>
                <w:b w:val="0"/>
                <w:bCs w:val="0"/>
                <w:spacing w:val="6"/>
                <w:sz w:val="24"/>
                <w:szCs w:val="24"/>
                <w:u w:val="none" w:color="auto"/>
                <w:lang w:eastAsia="zh-CN"/>
              </w:rPr>
              <w:t>（</w:t>
            </w:r>
            <w:r>
              <w:rPr>
                <w:rFonts w:hint="default" w:ascii="Times New Roman" w:hAnsi="Times New Roman" w:cs="Times New Roman"/>
                <w:b w:val="0"/>
                <w:bCs w:val="0"/>
                <w:spacing w:val="6"/>
                <w:sz w:val="24"/>
                <w:szCs w:val="24"/>
                <w:u w:val="none" w:color="auto"/>
              </w:rPr>
              <w:t>成品</w:t>
            </w:r>
            <w:r>
              <w:rPr>
                <w:rFonts w:hint="eastAsia" w:ascii="Times New Roman" w:hAnsi="Times New Roman" w:cs="Times New Roman"/>
                <w:b w:val="0"/>
                <w:bCs w:val="0"/>
                <w:spacing w:val="6"/>
                <w:sz w:val="24"/>
                <w:szCs w:val="24"/>
                <w:u w:val="none" w:color="auto"/>
                <w:lang w:eastAsia="zh-CN"/>
              </w:rPr>
              <w:t>）</w:t>
            </w:r>
            <w:r>
              <w:rPr>
                <w:rFonts w:hint="default" w:ascii="Times New Roman" w:hAnsi="Times New Roman" w:cs="Times New Roman"/>
                <w:b w:val="0"/>
                <w:bCs w:val="0"/>
                <w:spacing w:val="6"/>
                <w:sz w:val="24"/>
                <w:szCs w:val="24"/>
                <w:u w:val="none" w:color="auto"/>
              </w:rPr>
              <w:t>防盗门</w:t>
            </w:r>
          </w:p>
        </w:tc>
        <w:tc>
          <w:tcPr>
            <w:tcW w:w="1419" w:type="pct"/>
            <w:noWrap w:val="0"/>
            <w:vAlign w:val="center"/>
          </w:tcPr>
          <w:p w14:paraId="4540CE9B">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5"/>
                <w:sz w:val="24"/>
                <w:szCs w:val="24"/>
                <w:u w:val="none" w:color="auto"/>
              </w:rPr>
            </w:pPr>
            <w:r>
              <w:rPr>
                <w:rFonts w:hint="default" w:ascii="Times New Roman" w:hAnsi="Times New Roman" w:cs="Times New Roman"/>
                <w:b w:val="0"/>
                <w:bCs w:val="0"/>
                <w:spacing w:val="5"/>
                <w:sz w:val="24"/>
                <w:szCs w:val="24"/>
                <w:u w:val="none" w:color="auto"/>
              </w:rPr>
              <w:t>300（500）元/m²</w:t>
            </w:r>
          </w:p>
        </w:tc>
      </w:tr>
      <w:tr w14:paraId="2C165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10F3329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0926403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165FF4C4">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2"/>
                <w:sz w:val="24"/>
                <w:szCs w:val="24"/>
                <w:u w:val="none" w:color="auto"/>
              </w:rPr>
              <w:t>仿铜门</w:t>
            </w:r>
          </w:p>
        </w:tc>
        <w:tc>
          <w:tcPr>
            <w:tcW w:w="1419" w:type="pct"/>
            <w:noWrap w:val="0"/>
            <w:vAlign w:val="center"/>
          </w:tcPr>
          <w:p w14:paraId="7A6FB4E8">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4"/>
                <w:sz w:val="24"/>
                <w:szCs w:val="24"/>
                <w:u w:val="none" w:color="auto"/>
              </w:rPr>
            </w:pPr>
            <w:r>
              <w:rPr>
                <w:rFonts w:hint="default" w:ascii="Times New Roman" w:hAnsi="Times New Roman" w:cs="Times New Roman"/>
                <w:b w:val="0"/>
                <w:bCs w:val="0"/>
                <w:spacing w:val="4"/>
                <w:sz w:val="24"/>
                <w:szCs w:val="24"/>
                <w:u w:val="none" w:color="auto"/>
              </w:rPr>
              <w:t>350元/m²</w:t>
            </w:r>
          </w:p>
        </w:tc>
      </w:tr>
      <w:tr w14:paraId="63363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3AAB38C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79FE2C5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6D150FF9">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2"/>
                <w:sz w:val="24"/>
                <w:szCs w:val="24"/>
                <w:u w:val="none" w:color="auto"/>
              </w:rPr>
              <w:t>卷闸门</w:t>
            </w:r>
          </w:p>
        </w:tc>
        <w:tc>
          <w:tcPr>
            <w:tcW w:w="1419" w:type="pct"/>
            <w:noWrap w:val="0"/>
            <w:vAlign w:val="center"/>
          </w:tcPr>
          <w:p w14:paraId="137E8E00">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eastAsia="宋体" w:cs="Times New Roman"/>
                <w:b w:val="0"/>
                <w:bCs w:val="0"/>
                <w:spacing w:val="2"/>
                <w:sz w:val="24"/>
                <w:szCs w:val="24"/>
                <w:highlight w:val="none"/>
                <w:u w:val="none" w:color="auto"/>
                <w:lang w:val="en-US" w:eastAsia="zh-CN"/>
              </w:rPr>
            </w:pPr>
            <w:r>
              <w:rPr>
                <w:rFonts w:hint="eastAsia" w:ascii="Times New Roman" w:hAnsi="Times New Roman" w:cs="Times New Roman"/>
                <w:b w:val="0"/>
                <w:bCs w:val="0"/>
                <w:spacing w:val="2"/>
                <w:sz w:val="24"/>
                <w:szCs w:val="24"/>
                <w:highlight w:val="none"/>
                <w:u w:val="none" w:color="auto"/>
                <w:lang w:val="en-US" w:eastAsia="zh-CN"/>
              </w:rPr>
              <w:t>100</w:t>
            </w:r>
            <w:r>
              <w:rPr>
                <w:rFonts w:hint="default" w:ascii="Times New Roman" w:hAnsi="Times New Roman" w:cs="Times New Roman"/>
                <w:b w:val="0"/>
                <w:bCs w:val="0"/>
                <w:spacing w:val="2"/>
                <w:sz w:val="24"/>
                <w:szCs w:val="24"/>
                <w:highlight w:val="none"/>
                <w:u w:val="none" w:color="auto"/>
                <w:lang w:val="en-US" w:eastAsia="zh-CN"/>
              </w:rPr>
              <w:t>元/m²</w:t>
            </w:r>
          </w:p>
        </w:tc>
      </w:tr>
      <w:tr w14:paraId="5EE76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0F9D64B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FBD2C9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1EF42D2F">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6"/>
                <w:sz w:val="24"/>
                <w:szCs w:val="24"/>
                <w:u w:val="none" w:color="auto"/>
              </w:rPr>
              <w:t>套装门、地弹门</w:t>
            </w:r>
          </w:p>
        </w:tc>
        <w:tc>
          <w:tcPr>
            <w:tcW w:w="1419" w:type="pct"/>
            <w:noWrap w:val="0"/>
            <w:vAlign w:val="center"/>
          </w:tcPr>
          <w:p w14:paraId="1CDEE674">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3"/>
                <w:sz w:val="24"/>
                <w:szCs w:val="24"/>
                <w:u w:val="none" w:color="auto"/>
              </w:rPr>
            </w:pPr>
            <w:r>
              <w:rPr>
                <w:rFonts w:hint="default" w:ascii="Times New Roman" w:hAnsi="Times New Roman" w:cs="Times New Roman"/>
                <w:b w:val="0"/>
                <w:bCs w:val="0"/>
                <w:spacing w:val="3"/>
                <w:sz w:val="24"/>
                <w:szCs w:val="24"/>
                <w:u w:val="none" w:color="auto"/>
              </w:rPr>
              <w:t>200元/</w:t>
            </w:r>
            <w:r>
              <w:rPr>
                <w:rFonts w:hint="default" w:ascii="Times New Roman" w:hAnsi="Times New Roman" w:cs="Times New Roman"/>
                <w:b w:val="0"/>
                <w:bCs w:val="0"/>
                <w:spacing w:val="4"/>
                <w:sz w:val="24"/>
                <w:szCs w:val="24"/>
                <w:u w:val="none" w:color="auto"/>
              </w:rPr>
              <w:t>m²</w:t>
            </w:r>
          </w:p>
        </w:tc>
      </w:tr>
      <w:tr w14:paraId="737A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1886161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4B135B8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0AC292AD">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4"/>
                <w:sz w:val="24"/>
                <w:szCs w:val="24"/>
                <w:u w:val="none" w:color="auto"/>
              </w:rPr>
              <w:t>铝合金卷帘门</w:t>
            </w:r>
          </w:p>
        </w:tc>
        <w:tc>
          <w:tcPr>
            <w:tcW w:w="1419" w:type="pct"/>
            <w:noWrap w:val="0"/>
            <w:vAlign w:val="center"/>
          </w:tcPr>
          <w:p w14:paraId="0A4C85FD">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2"/>
                <w:sz w:val="24"/>
                <w:szCs w:val="24"/>
                <w:u w:val="none" w:color="auto"/>
              </w:rPr>
            </w:pPr>
            <w:r>
              <w:rPr>
                <w:rFonts w:hint="default" w:ascii="Times New Roman" w:hAnsi="Times New Roman" w:cs="Times New Roman"/>
                <w:b w:val="0"/>
                <w:bCs w:val="0"/>
                <w:spacing w:val="2"/>
                <w:sz w:val="24"/>
                <w:szCs w:val="24"/>
                <w:u w:val="none" w:color="auto"/>
              </w:rPr>
              <w:t>120元/m²</w:t>
            </w:r>
          </w:p>
        </w:tc>
      </w:tr>
      <w:tr w14:paraId="79E36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29BB536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471BDB0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6FE5EDCF">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6"/>
                <w:sz w:val="24"/>
                <w:szCs w:val="24"/>
                <w:u w:val="none" w:color="auto"/>
              </w:rPr>
              <w:t>钢筋网/铁皮防盗门</w:t>
            </w:r>
          </w:p>
        </w:tc>
        <w:tc>
          <w:tcPr>
            <w:tcW w:w="1419" w:type="pct"/>
            <w:noWrap w:val="0"/>
            <w:vAlign w:val="center"/>
          </w:tcPr>
          <w:p w14:paraId="31EFC790">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4"/>
                <w:sz w:val="24"/>
                <w:szCs w:val="24"/>
                <w:u w:val="none" w:color="auto"/>
              </w:rPr>
            </w:pPr>
            <w:r>
              <w:rPr>
                <w:rFonts w:hint="default" w:ascii="Times New Roman" w:hAnsi="Times New Roman" w:cs="Times New Roman"/>
                <w:b w:val="0"/>
                <w:bCs w:val="0"/>
                <w:spacing w:val="4"/>
                <w:sz w:val="24"/>
                <w:szCs w:val="24"/>
                <w:u w:val="none" w:color="auto"/>
              </w:rPr>
              <w:t>200元/m²</w:t>
            </w:r>
          </w:p>
        </w:tc>
      </w:tr>
      <w:tr w14:paraId="4F2BB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7D9147D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6403312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70B7885D">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3"/>
                <w:sz w:val="24"/>
                <w:szCs w:val="24"/>
                <w:u w:val="none" w:color="auto"/>
              </w:rPr>
              <w:t>不锈钢防盗门</w:t>
            </w:r>
          </w:p>
        </w:tc>
        <w:tc>
          <w:tcPr>
            <w:tcW w:w="1419" w:type="pct"/>
            <w:noWrap w:val="0"/>
            <w:vAlign w:val="center"/>
          </w:tcPr>
          <w:p w14:paraId="41A6B975">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2"/>
                <w:sz w:val="24"/>
                <w:szCs w:val="24"/>
                <w:u w:val="none" w:color="auto"/>
              </w:rPr>
            </w:pPr>
            <w:r>
              <w:rPr>
                <w:rFonts w:hint="default" w:ascii="Times New Roman" w:hAnsi="Times New Roman" w:cs="Times New Roman"/>
                <w:b w:val="0"/>
                <w:bCs w:val="0"/>
                <w:spacing w:val="2"/>
                <w:sz w:val="24"/>
                <w:szCs w:val="24"/>
                <w:u w:val="none" w:color="auto"/>
              </w:rPr>
              <w:t>300元/</w:t>
            </w:r>
            <w:r>
              <w:rPr>
                <w:rFonts w:hint="default" w:ascii="Times New Roman" w:hAnsi="Times New Roman" w:cs="Times New Roman"/>
                <w:b w:val="0"/>
                <w:bCs w:val="0"/>
                <w:spacing w:val="4"/>
                <w:sz w:val="24"/>
                <w:szCs w:val="24"/>
                <w:u w:val="none" w:color="auto"/>
              </w:rPr>
              <w:t>m²</w:t>
            </w:r>
          </w:p>
        </w:tc>
      </w:tr>
      <w:tr w14:paraId="7C74A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67C3DDD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5FBD6D3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4BBD5EFF">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4"/>
                <w:sz w:val="24"/>
                <w:szCs w:val="24"/>
                <w:u w:val="none" w:color="auto"/>
              </w:rPr>
              <w:t>铝合金玻璃门</w:t>
            </w:r>
          </w:p>
        </w:tc>
        <w:tc>
          <w:tcPr>
            <w:tcW w:w="1419" w:type="pct"/>
            <w:noWrap w:val="0"/>
            <w:vAlign w:val="center"/>
          </w:tcPr>
          <w:p w14:paraId="0BC586FA">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3"/>
                <w:sz w:val="24"/>
                <w:szCs w:val="24"/>
                <w:u w:val="none" w:color="auto"/>
              </w:rPr>
            </w:pPr>
            <w:r>
              <w:rPr>
                <w:rFonts w:hint="default" w:ascii="Times New Roman" w:hAnsi="Times New Roman" w:cs="Times New Roman"/>
                <w:b w:val="0"/>
                <w:bCs w:val="0"/>
                <w:spacing w:val="3"/>
                <w:sz w:val="24"/>
                <w:szCs w:val="24"/>
                <w:u w:val="none" w:color="auto"/>
              </w:rPr>
              <w:t>200元/</w:t>
            </w:r>
            <w:r>
              <w:rPr>
                <w:rFonts w:hint="default" w:ascii="Times New Roman" w:hAnsi="Times New Roman" w:cs="Times New Roman"/>
                <w:b w:val="0"/>
                <w:bCs w:val="0"/>
                <w:spacing w:val="4"/>
                <w:sz w:val="24"/>
                <w:szCs w:val="24"/>
                <w:u w:val="none" w:color="auto"/>
              </w:rPr>
              <w:t>m²</w:t>
            </w:r>
          </w:p>
        </w:tc>
      </w:tr>
      <w:tr w14:paraId="4F345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7F6C103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4E713BC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7D62C08D">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lang w:eastAsia="zh-CN"/>
              </w:rPr>
            </w:pPr>
            <w:r>
              <w:rPr>
                <w:rFonts w:hint="default" w:ascii="Times New Roman" w:hAnsi="Times New Roman" w:cs="Times New Roman"/>
                <w:b w:val="0"/>
                <w:bCs w:val="0"/>
                <w:sz w:val="24"/>
                <w:szCs w:val="24"/>
                <w:u w:val="none" w:color="auto"/>
                <w:lang w:eastAsia="zh-CN"/>
              </w:rPr>
              <w:t>豪华装饰普通</w:t>
            </w:r>
            <w:r>
              <w:rPr>
                <w:rFonts w:hint="default" w:ascii="Times New Roman" w:hAnsi="Times New Roman" w:cs="Times New Roman"/>
                <w:b w:val="0"/>
                <w:bCs w:val="0"/>
                <w:spacing w:val="-36"/>
                <w:sz w:val="24"/>
                <w:szCs w:val="24"/>
                <w:u w:val="none" w:color="auto"/>
                <w:lang w:eastAsia="zh-CN"/>
              </w:rPr>
              <w:t xml:space="preserve"> </w:t>
            </w:r>
            <w:r>
              <w:rPr>
                <w:rFonts w:hint="eastAsia" w:ascii="Times New Roman" w:hAnsi="Times New Roman" w:cs="Times New Roman"/>
                <w:b w:val="0"/>
                <w:bCs w:val="0"/>
                <w:sz w:val="24"/>
                <w:szCs w:val="24"/>
                <w:u w:val="none" w:color="auto"/>
                <w:lang w:eastAsia="zh-CN"/>
              </w:rPr>
              <w:t>（</w:t>
            </w:r>
            <w:r>
              <w:rPr>
                <w:rFonts w:hint="default" w:ascii="Times New Roman" w:hAnsi="Times New Roman" w:cs="Times New Roman"/>
                <w:b w:val="0"/>
                <w:bCs w:val="0"/>
                <w:sz w:val="24"/>
                <w:szCs w:val="24"/>
                <w:u w:val="none" w:color="auto"/>
                <w:lang w:eastAsia="zh-CN"/>
              </w:rPr>
              <w:t>高档</w:t>
            </w:r>
            <w:r>
              <w:rPr>
                <w:rFonts w:hint="eastAsia" w:ascii="Times New Roman" w:hAnsi="Times New Roman" w:cs="Times New Roman"/>
                <w:b w:val="0"/>
                <w:bCs w:val="0"/>
                <w:sz w:val="24"/>
                <w:szCs w:val="24"/>
                <w:u w:val="none" w:color="auto"/>
                <w:lang w:eastAsia="zh-CN"/>
              </w:rPr>
              <w:t>）</w:t>
            </w:r>
            <w:r>
              <w:rPr>
                <w:rFonts w:hint="default" w:ascii="Times New Roman" w:hAnsi="Times New Roman" w:cs="Times New Roman"/>
                <w:b w:val="0"/>
                <w:bCs w:val="0"/>
                <w:sz w:val="24"/>
                <w:szCs w:val="24"/>
                <w:u w:val="none" w:color="auto"/>
                <w:lang w:eastAsia="zh-CN"/>
              </w:rPr>
              <w:t>木门</w:t>
            </w:r>
          </w:p>
        </w:tc>
        <w:tc>
          <w:tcPr>
            <w:tcW w:w="1419" w:type="pct"/>
            <w:noWrap w:val="0"/>
            <w:vAlign w:val="center"/>
          </w:tcPr>
          <w:p w14:paraId="6012CB15">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6"/>
                <w:sz w:val="24"/>
                <w:szCs w:val="24"/>
                <w:highlight w:val="none"/>
                <w:u w:val="none" w:color="auto"/>
              </w:rPr>
            </w:pPr>
            <w:r>
              <w:rPr>
                <w:rFonts w:hint="default" w:ascii="Times New Roman" w:hAnsi="Times New Roman" w:cs="Times New Roman"/>
                <w:b w:val="0"/>
                <w:bCs w:val="0"/>
                <w:spacing w:val="6"/>
                <w:sz w:val="24"/>
                <w:szCs w:val="24"/>
                <w:highlight w:val="none"/>
                <w:u w:val="none" w:color="auto"/>
              </w:rPr>
              <w:t>200（</w:t>
            </w:r>
            <w:r>
              <w:rPr>
                <w:rFonts w:hint="eastAsia" w:ascii="Times New Roman" w:hAnsi="Times New Roman" w:cs="Times New Roman"/>
                <w:b w:val="0"/>
                <w:bCs w:val="0"/>
                <w:spacing w:val="2"/>
                <w:sz w:val="24"/>
                <w:szCs w:val="24"/>
                <w:highlight w:val="none"/>
                <w:u w:val="none" w:color="auto"/>
                <w:lang w:val="en-US" w:eastAsia="zh-CN"/>
              </w:rPr>
              <w:t>4</w:t>
            </w:r>
            <w:r>
              <w:rPr>
                <w:rFonts w:hint="default" w:ascii="Times New Roman" w:hAnsi="Times New Roman" w:cs="Times New Roman"/>
                <w:b w:val="0"/>
                <w:bCs w:val="0"/>
                <w:spacing w:val="2"/>
                <w:sz w:val="24"/>
                <w:szCs w:val="24"/>
                <w:highlight w:val="none"/>
                <w:u w:val="none" w:color="auto"/>
                <w:lang w:val="en-US" w:eastAsia="zh-CN"/>
              </w:rPr>
              <w:t>00</w:t>
            </w:r>
            <w:r>
              <w:rPr>
                <w:rFonts w:hint="default" w:ascii="Times New Roman" w:hAnsi="Times New Roman" w:cs="Times New Roman"/>
                <w:b w:val="0"/>
                <w:bCs w:val="0"/>
                <w:spacing w:val="6"/>
                <w:sz w:val="24"/>
                <w:szCs w:val="24"/>
                <w:highlight w:val="none"/>
                <w:u w:val="none" w:color="auto"/>
              </w:rPr>
              <w:t>）元/m²</w:t>
            </w:r>
          </w:p>
        </w:tc>
      </w:tr>
      <w:tr w14:paraId="05EAA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67CC226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7AC4FEF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27633954">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5"/>
                <w:sz w:val="24"/>
                <w:szCs w:val="24"/>
                <w:u w:val="none" w:color="auto"/>
              </w:rPr>
              <w:t>大</w:t>
            </w:r>
            <w:r>
              <w:rPr>
                <w:rFonts w:hint="eastAsia" w:ascii="Times New Roman" w:hAnsi="Times New Roman" w:cs="Times New Roman"/>
                <w:b w:val="0"/>
                <w:bCs w:val="0"/>
                <w:spacing w:val="5"/>
                <w:sz w:val="24"/>
                <w:szCs w:val="24"/>
                <w:u w:val="none" w:color="auto"/>
                <w:lang w:eastAsia="zh-CN"/>
              </w:rPr>
              <w:t>（</w:t>
            </w:r>
            <w:r>
              <w:rPr>
                <w:rFonts w:hint="default" w:ascii="Times New Roman" w:hAnsi="Times New Roman" w:cs="Times New Roman"/>
                <w:b w:val="0"/>
                <w:bCs w:val="0"/>
                <w:spacing w:val="5"/>
                <w:sz w:val="24"/>
                <w:szCs w:val="24"/>
                <w:u w:val="none" w:color="auto"/>
              </w:rPr>
              <w:t>小）窗套</w:t>
            </w:r>
          </w:p>
        </w:tc>
        <w:tc>
          <w:tcPr>
            <w:tcW w:w="1419" w:type="pct"/>
            <w:noWrap w:val="0"/>
            <w:vAlign w:val="center"/>
          </w:tcPr>
          <w:p w14:paraId="3B97BB7C">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6"/>
                <w:sz w:val="24"/>
                <w:szCs w:val="24"/>
                <w:highlight w:val="none"/>
                <w:u w:val="none" w:color="auto"/>
              </w:rPr>
            </w:pPr>
            <w:r>
              <w:rPr>
                <w:rFonts w:hint="eastAsia" w:ascii="Times New Roman" w:hAnsi="Times New Roman" w:cs="Times New Roman"/>
                <w:b w:val="0"/>
                <w:bCs w:val="0"/>
                <w:spacing w:val="6"/>
                <w:sz w:val="24"/>
                <w:szCs w:val="24"/>
                <w:highlight w:val="none"/>
                <w:u w:val="none" w:color="auto"/>
                <w:lang w:val="en-US" w:eastAsia="zh-CN"/>
              </w:rPr>
              <w:t>15</w:t>
            </w:r>
            <w:r>
              <w:rPr>
                <w:rFonts w:hint="default" w:ascii="Times New Roman" w:hAnsi="Times New Roman" w:cs="Times New Roman"/>
                <w:b w:val="0"/>
                <w:bCs w:val="0"/>
                <w:spacing w:val="6"/>
                <w:sz w:val="24"/>
                <w:szCs w:val="24"/>
                <w:highlight w:val="none"/>
                <w:u w:val="none" w:color="auto"/>
              </w:rPr>
              <w:t>0（100）元/个</w:t>
            </w:r>
          </w:p>
        </w:tc>
      </w:tr>
      <w:tr w14:paraId="4D5CE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72DEC3B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8B142F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68EE1D89">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4"/>
                <w:sz w:val="24"/>
                <w:szCs w:val="24"/>
                <w:u w:val="none" w:color="auto"/>
              </w:rPr>
              <w:t>大</w:t>
            </w:r>
            <w:r>
              <w:rPr>
                <w:rFonts w:hint="eastAsia" w:ascii="Times New Roman" w:hAnsi="Times New Roman" w:cs="Times New Roman"/>
                <w:b w:val="0"/>
                <w:bCs w:val="0"/>
                <w:spacing w:val="-4"/>
                <w:sz w:val="24"/>
                <w:szCs w:val="24"/>
                <w:u w:val="none" w:color="auto"/>
                <w:lang w:eastAsia="zh-CN"/>
              </w:rPr>
              <w:t>（</w:t>
            </w:r>
            <w:r>
              <w:rPr>
                <w:rFonts w:hint="default" w:ascii="Times New Roman" w:hAnsi="Times New Roman" w:cs="Times New Roman"/>
                <w:b w:val="0"/>
                <w:bCs w:val="0"/>
                <w:spacing w:val="-4"/>
                <w:sz w:val="24"/>
                <w:szCs w:val="24"/>
                <w:u w:val="none" w:color="auto"/>
              </w:rPr>
              <w:t>小）</w:t>
            </w:r>
            <w:r>
              <w:rPr>
                <w:rFonts w:hint="default" w:ascii="Times New Roman" w:hAnsi="Times New Roman" w:cs="Times New Roman"/>
                <w:b w:val="0"/>
                <w:bCs w:val="0"/>
                <w:spacing w:val="-67"/>
                <w:sz w:val="24"/>
                <w:szCs w:val="24"/>
                <w:u w:val="none" w:color="auto"/>
              </w:rPr>
              <w:t xml:space="preserve"> </w:t>
            </w:r>
            <w:r>
              <w:rPr>
                <w:rFonts w:hint="default" w:ascii="Times New Roman" w:hAnsi="Times New Roman" w:cs="Times New Roman"/>
                <w:b w:val="0"/>
                <w:bCs w:val="0"/>
                <w:spacing w:val="-4"/>
                <w:sz w:val="24"/>
                <w:szCs w:val="24"/>
                <w:u w:val="none" w:color="auto"/>
              </w:rPr>
              <w:t>门套</w:t>
            </w:r>
          </w:p>
        </w:tc>
        <w:tc>
          <w:tcPr>
            <w:tcW w:w="1419" w:type="pct"/>
            <w:noWrap w:val="0"/>
            <w:vAlign w:val="center"/>
          </w:tcPr>
          <w:p w14:paraId="1AF1DFF6">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6"/>
                <w:sz w:val="24"/>
                <w:szCs w:val="24"/>
                <w:highlight w:val="none"/>
                <w:u w:val="none" w:color="auto"/>
              </w:rPr>
            </w:pPr>
            <w:r>
              <w:rPr>
                <w:rFonts w:hint="eastAsia" w:ascii="Times New Roman" w:hAnsi="Times New Roman" w:cs="Times New Roman"/>
                <w:b w:val="0"/>
                <w:bCs w:val="0"/>
                <w:spacing w:val="6"/>
                <w:sz w:val="24"/>
                <w:szCs w:val="24"/>
                <w:highlight w:val="none"/>
                <w:u w:val="none" w:color="auto"/>
                <w:lang w:val="en-US" w:eastAsia="zh-CN"/>
              </w:rPr>
              <w:t>300</w:t>
            </w:r>
            <w:r>
              <w:rPr>
                <w:rFonts w:hint="default" w:ascii="Times New Roman" w:hAnsi="Times New Roman" w:cs="Times New Roman"/>
                <w:b w:val="0"/>
                <w:bCs w:val="0"/>
                <w:spacing w:val="6"/>
                <w:sz w:val="24"/>
                <w:szCs w:val="24"/>
                <w:highlight w:val="none"/>
                <w:u w:val="none" w:color="auto"/>
              </w:rPr>
              <w:t>（</w:t>
            </w:r>
            <w:r>
              <w:rPr>
                <w:rFonts w:hint="eastAsia" w:ascii="Times New Roman" w:hAnsi="Times New Roman" w:cs="Times New Roman"/>
                <w:b w:val="0"/>
                <w:bCs w:val="0"/>
                <w:spacing w:val="6"/>
                <w:sz w:val="24"/>
                <w:szCs w:val="24"/>
                <w:highlight w:val="none"/>
                <w:u w:val="none" w:color="auto"/>
                <w:lang w:val="en-US" w:eastAsia="zh-CN"/>
              </w:rPr>
              <w:t>15</w:t>
            </w:r>
            <w:r>
              <w:rPr>
                <w:rFonts w:hint="default" w:ascii="Times New Roman" w:hAnsi="Times New Roman" w:cs="Times New Roman"/>
                <w:b w:val="0"/>
                <w:bCs w:val="0"/>
                <w:spacing w:val="6"/>
                <w:sz w:val="24"/>
                <w:szCs w:val="24"/>
                <w:highlight w:val="none"/>
                <w:u w:val="none" w:color="auto"/>
              </w:rPr>
              <w:t>0）元/个</w:t>
            </w:r>
          </w:p>
        </w:tc>
      </w:tr>
      <w:tr w14:paraId="52DE0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5B4D0D9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94A33C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5ACB12A7">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pacing w:val="5"/>
                <w:sz w:val="24"/>
                <w:szCs w:val="24"/>
                <w:u w:val="none" w:color="auto"/>
              </w:rPr>
              <w:t>大</w:t>
            </w:r>
            <w:r>
              <w:rPr>
                <w:rFonts w:hint="eastAsia" w:ascii="Times New Roman" w:hAnsi="Times New Roman" w:cs="Times New Roman"/>
                <w:b w:val="0"/>
                <w:bCs w:val="0"/>
                <w:spacing w:val="5"/>
                <w:sz w:val="24"/>
                <w:szCs w:val="24"/>
                <w:u w:val="none" w:color="auto"/>
                <w:lang w:eastAsia="zh-CN"/>
              </w:rPr>
              <w:t>（</w:t>
            </w:r>
            <w:r>
              <w:rPr>
                <w:rFonts w:hint="default" w:ascii="Times New Roman" w:hAnsi="Times New Roman" w:cs="Times New Roman"/>
                <w:b w:val="0"/>
                <w:bCs w:val="0"/>
                <w:spacing w:val="5"/>
                <w:sz w:val="24"/>
                <w:szCs w:val="24"/>
                <w:u w:val="none" w:color="auto"/>
              </w:rPr>
              <w:t>小）纱窗</w:t>
            </w:r>
          </w:p>
        </w:tc>
        <w:tc>
          <w:tcPr>
            <w:tcW w:w="1419" w:type="pct"/>
            <w:noWrap w:val="0"/>
            <w:vAlign w:val="center"/>
          </w:tcPr>
          <w:p w14:paraId="03F1CB43">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pacing w:val="6"/>
                <w:sz w:val="24"/>
                <w:szCs w:val="24"/>
                <w:u w:val="none" w:color="auto"/>
              </w:rPr>
            </w:pPr>
            <w:r>
              <w:rPr>
                <w:rFonts w:hint="default" w:ascii="Times New Roman" w:hAnsi="Times New Roman" w:cs="Times New Roman"/>
                <w:b w:val="0"/>
                <w:bCs w:val="0"/>
                <w:spacing w:val="6"/>
                <w:sz w:val="24"/>
                <w:szCs w:val="24"/>
                <w:u w:val="none" w:color="auto"/>
              </w:rPr>
              <w:t>40（20）元/个</w:t>
            </w:r>
          </w:p>
        </w:tc>
      </w:tr>
      <w:tr w14:paraId="0F113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31DDE0C8">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restart"/>
            <w:tcBorders>
              <w:top w:val="single" w:color="auto" w:sz="4" w:space="0"/>
              <w:left w:val="single" w:color="auto" w:sz="4" w:space="0"/>
              <w:right w:val="single" w:color="auto" w:sz="4" w:space="0"/>
            </w:tcBorders>
            <w:noWrap w:val="0"/>
            <w:vAlign w:val="center"/>
          </w:tcPr>
          <w:p w14:paraId="04DCC9F6">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内外</w:t>
            </w:r>
          </w:p>
          <w:p w14:paraId="7298324F">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装饰</w:t>
            </w:r>
          </w:p>
        </w:tc>
        <w:tc>
          <w:tcPr>
            <w:tcW w:w="355" w:type="pct"/>
            <w:vMerge w:val="restart"/>
            <w:tcBorders>
              <w:top w:val="single" w:color="auto" w:sz="4" w:space="0"/>
              <w:left w:val="single" w:color="auto" w:sz="4" w:space="0"/>
              <w:right w:val="single" w:color="auto" w:sz="4" w:space="0"/>
            </w:tcBorders>
            <w:noWrap w:val="0"/>
            <w:vAlign w:val="center"/>
          </w:tcPr>
          <w:p w14:paraId="316637C4">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楼</w:t>
            </w:r>
          </w:p>
          <w:p w14:paraId="3D7ADF12">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地</w:t>
            </w:r>
          </w:p>
          <w:p w14:paraId="4B58D113">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面</w:t>
            </w:r>
          </w:p>
        </w:tc>
        <w:tc>
          <w:tcPr>
            <w:tcW w:w="2616" w:type="pct"/>
            <w:tcBorders>
              <w:left w:val="single" w:color="auto" w:sz="4" w:space="0"/>
            </w:tcBorders>
            <w:noWrap w:val="0"/>
            <w:vAlign w:val="center"/>
          </w:tcPr>
          <w:p w14:paraId="5057B37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花岗岩贴面、大理石贴面</w:t>
            </w:r>
          </w:p>
        </w:tc>
        <w:tc>
          <w:tcPr>
            <w:tcW w:w="1419" w:type="pct"/>
            <w:noWrap w:val="0"/>
            <w:vAlign w:val="center"/>
          </w:tcPr>
          <w:p w14:paraId="1AD558F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100</w:t>
            </w:r>
            <w:r>
              <w:rPr>
                <w:rFonts w:hint="default" w:ascii="Times New Roman" w:hAnsi="Times New Roman" w:eastAsia="宋体" w:cs="Times New Roman"/>
                <w:b w:val="0"/>
                <w:bCs w:val="0"/>
                <w:color w:val="000000"/>
                <w:kern w:val="0"/>
                <w:sz w:val="24"/>
                <w:szCs w:val="24"/>
                <w:highlight w:val="none"/>
                <w:u w:val="none" w:color="auto"/>
                <w:lang w:bidi="ar"/>
              </w:rPr>
              <w:t>元/m²</w:t>
            </w:r>
          </w:p>
        </w:tc>
      </w:tr>
      <w:tr w14:paraId="02B4E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74A9D07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tcBorders>
              <w:left w:val="single" w:color="auto" w:sz="4" w:space="0"/>
              <w:right w:val="single" w:color="auto" w:sz="4" w:space="0"/>
            </w:tcBorders>
            <w:noWrap w:val="0"/>
            <w:vAlign w:val="center"/>
          </w:tcPr>
          <w:p w14:paraId="7C5F940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tcBorders>
              <w:left w:val="single" w:color="auto" w:sz="4" w:space="0"/>
              <w:right w:val="single" w:color="auto" w:sz="4" w:space="0"/>
            </w:tcBorders>
            <w:noWrap w:val="0"/>
            <w:vAlign w:val="center"/>
          </w:tcPr>
          <w:p w14:paraId="789D42B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tcBorders>
              <w:left w:val="single" w:color="auto" w:sz="4" w:space="0"/>
            </w:tcBorders>
            <w:noWrap w:val="0"/>
            <w:vAlign w:val="center"/>
          </w:tcPr>
          <w:p w14:paraId="5892105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简易大理石</w:t>
            </w:r>
          </w:p>
        </w:tc>
        <w:tc>
          <w:tcPr>
            <w:tcW w:w="1419" w:type="pct"/>
            <w:noWrap w:val="0"/>
            <w:vAlign w:val="center"/>
          </w:tcPr>
          <w:p w14:paraId="2FADF90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40元/m²</w:t>
            </w:r>
          </w:p>
        </w:tc>
      </w:tr>
      <w:tr w14:paraId="57E17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27C5428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tcBorders>
              <w:left w:val="single" w:color="auto" w:sz="4" w:space="0"/>
              <w:right w:val="single" w:color="auto" w:sz="4" w:space="0"/>
            </w:tcBorders>
            <w:noWrap w:val="0"/>
            <w:vAlign w:val="center"/>
          </w:tcPr>
          <w:p w14:paraId="031A561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tcBorders>
              <w:left w:val="single" w:color="auto" w:sz="4" w:space="0"/>
              <w:right w:val="single" w:color="auto" w:sz="4" w:space="0"/>
            </w:tcBorders>
            <w:noWrap w:val="0"/>
            <w:vAlign w:val="center"/>
          </w:tcPr>
          <w:p w14:paraId="016C472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1CE7972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复合木地板</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悬浮安装</w:t>
            </w:r>
            <w:r>
              <w:rPr>
                <w:rFonts w:hint="eastAsia" w:ascii="Times New Roman" w:hAnsi="Times New Roman" w:eastAsia="宋体" w:cs="Times New Roman"/>
                <w:b w:val="0"/>
                <w:bCs w:val="0"/>
                <w:color w:val="000000"/>
                <w:kern w:val="0"/>
                <w:sz w:val="24"/>
                <w:szCs w:val="24"/>
                <w:u w:val="none" w:color="auto"/>
                <w:lang w:eastAsia="zh-CN" w:bidi="ar"/>
              </w:rPr>
              <w:t>）</w:t>
            </w:r>
          </w:p>
        </w:tc>
        <w:tc>
          <w:tcPr>
            <w:tcW w:w="1419" w:type="pct"/>
            <w:noWrap w:val="0"/>
            <w:vAlign w:val="center"/>
          </w:tcPr>
          <w:p w14:paraId="67849B9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100</w:t>
            </w:r>
            <w:r>
              <w:rPr>
                <w:rFonts w:hint="default" w:ascii="Times New Roman" w:hAnsi="Times New Roman" w:eastAsia="宋体" w:cs="Times New Roman"/>
                <w:b w:val="0"/>
                <w:bCs w:val="0"/>
                <w:color w:val="000000"/>
                <w:kern w:val="0"/>
                <w:sz w:val="24"/>
                <w:szCs w:val="24"/>
                <w:highlight w:val="none"/>
                <w:u w:val="none" w:color="auto"/>
                <w:lang w:bidi="ar"/>
              </w:rPr>
              <w:t>元/m²</w:t>
            </w:r>
          </w:p>
        </w:tc>
      </w:tr>
      <w:tr w14:paraId="295BC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2DEA2A3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tcBorders>
              <w:left w:val="single" w:color="auto" w:sz="4" w:space="0"/>
              <w:right w:val="single" w:color="auto" w:sz="4" w:space="0"/>
            </w:tcBorders>
            <w:noWrap w:val="0"/>
            <w:vAlign w:val="center"/>
          </w:tcPr>
          <w:p w14:paraId="4FCBC10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tcBorders>
              <w:left w:val="single" w:color="auto" w:sz="4" w:space="0"/>
              <w:right w:val="single" w:color="auto" w:sz="4" w:space="0"/>
            </w:tcBorders>
            <w:noWrap w:val="0"/>
            <w:vAlign w:val="center"/>
          </w:tcPr>
          <w:p w14:paraId="037F69C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093930F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干铺地板砖（干铺木地板）</w:t>
            </w:r>
          </w:p>
        </w:tc>
        <w:tc>
          <w:tcPr>
            <w:tcW w:w="1419" w:type="pct"/>
            <w:noWrap w:val="0"/>
            <w:vAlign w:val="center"/>
          </w:tcPr>
          <w:p w14:paraId="0F4CD2F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25元/m²</w:t>
            </w:r>
          </w:p>
        </w:tc>
      </w:tr>
      <w:tr w14:paraId="30B80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9" w:type="pct"/>
            <w:vMerge w:val="continue"/>
            <w:tcBorders>
              <w:left w:val="single" w:color="auto" w:sz="4" w:space="0"/>
              <w:right w:val="single" w:color="auto" w:sz="4" w:space="0"/>
            </w:tcBorders>
            <w:noWrap w:val="0"/>
            <w:vAlign w:val="center"/>
          </w:tcPr>
          <w:p w14:paraId="1278022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tcBorders>
              <w:left w:val="single" w:color="auto" w:sz="4" w:space="0"/>
              <w:right w:val="single" w:color="auto" w:sz="4" w:space="0"/>
            </w:tcBorders>
            <w:noWrap w:val="0"/>
            <w:vAlign w:val="center"/>
          </w:tcPr>
          <w:p w14:paraId="67058A0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tcBorders>
              <w:left w:val="single" w:color="auto" w:sz="4" w:space="0"/>
              <w:right w:val="single" w:color="auto" w:sz="4" w:space="0"/>
            </w:tcBorders>
            <w:noWrap w:val="0"/>
            <w:vAlign w:val="center"/>
          </w:tcPr>
          <w:p w14:paraId="6CEB4DB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146EF8C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实木</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拼花</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木地板</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综合</w:t>
            </w:r>
            <w:r>
              <w:rPr>
                <w:rFonts w:hint="eastAsia" w:ascii="Times New Roman" w:hAnsi="Times New Roman" w:eastAsia="宋体" w:cs="Times New Roman"/>
                <w:b w:val="0"/>
                <w:bCs w:val="0"/>
                <w:color w:val="000000"/>
                <w:kern w:val="0"/>
                <w:sz w:val="24"/>
                <w:szCs w:val="24"/>
                <w:u w:val="none" w:color="auto"/>
                <w:lang w:eastAsia="zh-CN" w:bidi="ar"/>
              </w:rPr>
              <w:t>）</w:t>
            </w:r>
          </w:p>
        </w:tc>
        <w:tc>
          <w:tcPr>
            <w:tcW w:w="1419" w:type="pct"/>
            <w:noWrap w:val="0"/>
            <w:vAlign w:val="center"/>
          </w:tcPr>
          <w:p w14:paraId="42B29AA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130</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23115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restart"/>
            <w:noWrap w:val="0"/>
            <w:vAlign w:val="center"/>
          </w:tcPr>
          <w:p w14:paraId="0A1797AD">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装饰</w:t>
            </w:r>
          </w:p>
          <w:p w14:paraId="2A147243">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部</w:t>
            </w:r>
            <w:r>
              <w:rPr>
                <w:rFonts w:hint="default" w:ascii="Times New Roman" w:hAnsi="Times New Roman" w:cs="Times New Roman"/>
                <w:b w:val="0"/>
                <w:bCs w:val="0"/>
                <w:spacing w:val="-3"/>
                <w:sz w:val="24"/>
                <w:szCs w:val="24"/>
                <w:u w:val="none" w:color="auto"/>
              </w:rPr>
              <w:t>分</w:t>
            </w:r>
          </w:p>
        </w:tc>
        <w:tc>
          <w:tcPr>
            <w:tcW w:w="328" w:type="pct"/>
            <w:vMerge w:val="restart"/>
            <w:noWrap w:val="0"/>
            <w:vAlign w:val="center"/>
          </w:tcPr>
          <w:p w14:paraId="6B808E6C">
            <w:pPr>
              <w:pStyle w:val="13"/>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内外</w:t>
            </w:r>
          </w:p>
          <w:p w14:paraId="5A5BDC8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装饰</w:t>
            </w:r>
          </w:p>
        </w:tc>
        <w:tc>
          <w:tcPr>
            <w:tcW w:w="355" w:type="pct"/>
            <w:vMerge w:val="restart"/>
            <w:noWrap w:val="0"/>
            <w:vAlign w:val="center"/>
          </w:tcPr>
          <w:p w14:paraId="3783AA0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eastAsia="宋体" w:cs="Times New Roman"/>
                <w:b w:val="0"/>
                <w:bCs w:val="0"/>
                <w:color w:val="000000"/>
                <w:kern w:val="0"/>
                <w:sz w:val="24"/>
                <w:szCs w:val="24"/>
                <w:u w:val="none" w:color="auto"/>
                <w:lang w:bidi="ar"/>
              </w:rPr>
            </w:pPr>
            <w:r>
              <w:rPr>
                <w:rFonts w:hint="default" w:ascii="Times New Roman" w:hAnsi="Times New Roman" w:eastAsia="宋体" w:cs="Times New Roman"/>
                <w:b w:val="0"/>
                <w:bCs w:val="0"/>
                <w:color w:val="000000"/>
                <w:kern w:val="0"/>
                <w:sz w:val="24"/>
                <w:szCs w:val="24"/>
                <w:u w:val="none" w:color="auto"/>
                <w:lang w:bidi="ar"/>
              </w:rPr>
              <w:t>楼</w:t>
            </w:r>
          </w:p>
          <w:p w14:paraId="2E0F1A5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eastAsia="宋体" w:cs="Times New Roman"/>
                <w:b w:val="0"/>
                <w:bCs w:val="0"/>
                <w:color w:val="000000"/>
                <w:kern w:val="0"/>
                <w:sz w:val="24"/>
                <w:szCs w:val="24"/>
                <w:u w:val="none" w:color="auto"/>
                <w:lang w:bidi="ar"/>
              </w:rPr>
            </w:pPr>
            <w:r>
              <w:rPr>
                <w:rFonts w:hint="default" w:ascii="Times New Roman" w:hAnsi="Times New Roman" w:eastAsia="宋体" w:cs="Times New Roman"/>
                <w:b w:val="0"/>
                <w:bCs w:val="0"/>
                <w:color w:val="000000"/>
                <w:kern w:val="0"/>
                <w:sz w:val="24"/>
                <w:szCs w:val="24"/>
                <w:u w:val="none" w:color="auto"/>
                <w:lang w:bidi="ar"/>
              </w:rPr>
              <w:t>地</w:t>
            </w:r>
          </w:p>
          <w:p w14:paraId="7463120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面</w:t>
            </w:r>
          </w:p>
        </w:tc>
        <w:tc>
          <w:tcPr>
            <w:tcW w:w="2616" w:type="pct"/>
            <w:noWrap w:val="0"/>
            <w:vAlign w:val="center"/>
          </w:tcPr>
          <w:p w14:paraId="42E7212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地板砖</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综合</w:t>
            </w:r>
            <w:r>
              <w:rPr>
                <w:rFonts w:hint="eastAsia" w:ascii="Times New Roman" w:hAnsi="Times New Roman" w:eastAsia="宋体" w:cs="Times New Roman"/>
                <w:b w:val="0"/>
                <w:bCs w:val="0"/>
                <w:color w:val="000000"/>
                <w:kern w:val="0"/>
                <w:sz w:val="24"/>
                <w:szCs w:val="24"/>
                <w:u w:val="none" w:color="auto"/>
                <w:lang w:eastAsia="zh-CN" w:bidi="ar"/>
              </w:rPr>
              <w:t>）</w:t>
            </w:r>
          </w:p>
        </w:tc>
        <w:tc>
          <w:tcPr>
            <w:tcW w:w="1419" w:type="pct"/>
            <w:noWrap w:val="0"/>
            <w:vAlign w:val="center"/>
          </w:tcPr>
          <w:p w14:paraId="0F5C84E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50</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19AD1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358AADD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406919C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59E2CA8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1F49896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简易地砖、简易木地板</w:t>
            </w:r>
          </w:p>
        </w:tc>
        <w:tc>
          <w:tcPr>
            <w:tcW w:w="1419" w:type="pct"/>
            <w:noWrap w:val="0"/>
            <w:vAlign w:val="center"/>
          </w:tcPr>
          <w:p w14:paraId="0A04704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30</w:t>
            </w:r>
            <w:r>
              <w:rPr>
                <w:rFonts w:hint="eastAsia" w:ascii="Times New Roman" w:hAnsi="Times New Roman" w:eastAsia="宋体" w:cs="Times New Roman"/>
                <w:b w:val="0"/>
                <w:bCs w:val="0"/>
                <w:color w:val="000000"/>
                <w:kern w:val="0"/>
                <w:sz w:val="24"/>
                <w:szCs w:val="24"/>
                <w:u w:val="none" w:color="auto"/>
                <w:lang w:eastAsia="zh-CN" w:bidi="ar"/>
              </w:rPr>
              <w:t>元</w:t>
            </w:r>
            <w:r>
              <w:rPr>
                <w:rFonts w:hint="default" w:ascii="Times New Roman" w:hAnsi="Times New Roman" w:eastAsia="宋体" w:cs="Times New Roman"/>
                <w:b w:val="0"/>
                <w:bCs w:val="0"/>
                <w:color w:val="000000"/>
                <w:kern w:val="0"/>
                <w:sz w:val="24"/>
                <w:szCs w:val="24"/>
                <w:u w:val="none" w:color="auto"/>
                <w:lang w:bidi="ar"/>
              </w:rPr>
              <w:t>/m²</w:t>
            </w:r>
          </w:p>
        </w:tc>
      </w:tr>
      <w:tr w14:paraId="0C2FC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62073D0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2E888EE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09658C1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5F1611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简易</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复合</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木地板</w:t>
            </w:r>
          </w:p>
        </w:tc>
        <w:tc>
          <w:tcPr>
            <w:tcW w:w="1419" w:type="pct"/>
            <w:noWrap w:val="0"/>
            <w:vAlign w:val="center"/>
          </w:tcPr>
          <w:p w14:paraId="4F500AB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50（120）元/m²</w:t>
            </w:r>
          </w:p>
        </w:tc>
      </w:tr>
      <w:tr w14:paraId="096D2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21B1FC2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5F65707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5E09173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8DF208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PVC地板革、普通地板革</w:t>
            </w:r>
          </w:p>
        </w:tc>
        <w:tc>
          <w:tcPr>
            <w:tcW w:w="1419" w:type="pct"/>
            <w:noWrap w:val="0"/>
            <w:vAlign w:val="center"/>
          </w:tcPr>
          <w:p w14:paraId="7F12082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15元/m²</w:t>
            </w:r>
          </w:p>
        </w:tc>
      </w:tr>
      <w:tr w14:paraId="7BA56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6B54B4F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249A292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3BEE4B0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517B53F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陶瓷锦砖</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马赛克</w:t>
            </w:r>
            <w:r>
              <w:rPr>
                <w:rFonts w:hint="eastAsia" w:ascii="Times New Roman" w:hAnsi="Times New Roman" w:eastAsia="宋体" w:cs="Times New Roman"/>
                <w:b w:val="0"/>
                <w:bCs w:val="0"/>
                <w:color w:val="000000"/>
                <w:kern w:val="0"/>
                <w:sz w:val="24"/>
                <w:szCs w:val="24"/>
                <w:u w:val="none" w:color="auto"/>
                <w:lang w:eastAsia="zh-CN" w:bidi="ar"/>
              </w:rPr>
              <w:t>）</w:t>
            </w:r>
          </w:p>
        </w:tc>
        <w:tc>
          <w:tcPr>
            <w:tcW w:w="1419" w:type="pct"/>
            <w:noWrap w:val="0"/>
            <w:vAlign w:val="center"/>
          </w:tcPr>
          <w:p w14:paraId="2619360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80元/m²</w:t>
            </w:r>
          </w:p>
        </w:tc>
      </w:tr>
      <w:tr w14:paraId="2DE4D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6174F32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13A010D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1A94AC0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4C9E1FF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水磨石面层</w:t>
            </w:r>
          </w:p>
        </w:tc>
        <w:tc>
          <w:tcPr>
            <w:tcW w:w="1419" w:type="pct"/>
            <w:noWrap w:val="0"/>
            <w:vAlign w:val="center"/>
          </w:tcPr>
          <w:p w14:paraId="7972C6A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50元/m²</w:t>
            </w:r>
          </w:p>
        </w:tc>
      </w:tr>
      <w:tr w14:paraId="6DF0A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0EEE407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4D091D1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restart"/>
            <w:noWrap w:val="0"/>
            <w:vAlign w:val="center"/>
          </w:tcPr>
          <w:p w14:paraId="26133B9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eastAsia="宋体" w:cs="Times New Roman"/>
                <w:b w:val="0"/>
                <w:bCs w:val="0"/>
                <w:color w:val="000000"/>
                <w:kern w:val="0"/>
                <w:sz w:val="24"/>
                <w:szCs w:val="24"/>
                <w:u w:val="none" w:color="auto"/>
                <w:lang w:bidi="ar"/>
              </w:rPr>
            </w:pPr>
            <w:r>
              <w:rPr>
                <w:rFonts w:hint="default" w:ascii="Times New Roman" w:hAnsi="Times New Roman" w:eastAsia="宋体" w:cs="Times New Roman"/>
                <w:b w:val="0"/>
                <w:bCs w:val="0"/>
                <w:color w:val="000000"/>
                <w:kern w:val="0"/>
                <w:sz w:val="24"/>
                <w:szCs w:val="24"/>
                <w:u w:val="none" w:color="auto"/>
                <w:lang w:bidi="ar"/>
              </w:rPr>
              <w:t>墙</w:t>
            </w:r>
          </w:p>
          <w:p w14:paraId="37E9D22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eastAsia="宋体" w:cs="Times New Roman"/>
                <w:b w:val="0"/>
                <w:bCs w:val="0"/>
                <w:color w:val="000000"/>
                <w:kern w:val="0"/>
                <w:sz w:val="24"/>
                <w:szCs w:val="24"/>
                <w:u w:val="none" w:color="auto"/>
                <w:lang w:bidi="ar"/>
              </w:rPr>
            </w:pPr>
            <w:r>
              <w:rPr>
                <w:rFonts w:hint="default" w:ascii="Times New Roman" w:hAnsi="Times New Roman" w:eastAsia="宋体" w:cs="Times New Roman"/>
                <w:b w:val="0"/>
                <w:bCs w:val="0"/>
                <w:color w:val="000000"/>
                <w:kern w:val="0"/>
                <w:sz w:val="24"/>
                <w:szCs w:val="24"/>
                <w:u w:val="none" w:color="auto"/>
                <w:lang w:bidi="ar"/>
              </w:rPr>
              <w:t>柱</w:t>
            </w:r>
          </w:p>
          <w:p w14:paraId="0EA2283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面</w:t>
            </w:r>
          </w:p>
        </w:tc>
        <w:tc>
          <w:tcPr>
            <w:tcW w:w="2616" w:type="pct"/>
            <w:noWrap w:val="0"/>
            <w:vAlign w:val="center"/>
          </w:tcPr>
          <w:p w14:paraId="0BC72EB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花岗岩贴面</w:t>
            </w:r>
          </w:p>
        </w:tc>
        <w:tc>
          <w:tcPr>
            <w:tcW w:w="1419" w:type="pct"/>
            <w:noWrap w:val="0"/>
            <w:vAlign w:val="center"/>
          </w:tcPr>
          <w:p w14:paraId="3FCDB1A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90</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29CE1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59F84D0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18536A0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730DE7E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390312C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大理石贴面</w:t>
            </w:r>
          </w:p>
        </w:tc>
        <w:tc>
          <w:tcPr>
            <w:tcW w:w="1419" w:type="pct"/>
            <w:noWrap w:val="0"/>
            <w:vAlign w:val="center"/>
          </w:tcPr>
          <w:p w14:paraId="48A5FDB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90</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28BAE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1B67100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2AE6FC8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42F8723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4D67D3B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简易贴面</w:t>
            </w:r>
          </w:p>
        </w:tc>
        <w:tc>
          <w:tcPr>
            <w:tcW w:w="1419" w:type="pct"/>
            <w:noWrap w:val="0"/>
            <w:vAlign w:val="center"/>
          </w:tcPr>
          <w:p w14:paraId="7BDCDB7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20元/m²</w:t>
            </w:r>
          </w:p>
        </w:tc>
      </w:tr>
      <w:tr w14:paraId="48C01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363CE9D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39939AE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5D678EA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7322C60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胶合板、铝塑板、硬木板贴面</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综合</w:t>
            </w:r>
            <w:r>
              <w:rPr>
                <w:rFonts w:hint="eastAsia" w:ascii="Times New Roman" w:hAnsi="Times New Roman" w:eastAsia="宋体" w:cs="Times New Roman"/>
                <w:b w:val="0"/>
                <w:bCs w:val="0"/>
                <w:color w:val="000000"/>
                <w:kern w:val="0"/>
                <w:sz w:val="24"/>
                <w:szCs w:val="24"/>
                <w:u w:val="none" w:color="auto"/>
                <w:lang w:eastAsia="zh-CN" w:bidi="ar"/>
              </w:rPr>
              <w:t>）</w:t>
            </w:r>
          </w:p>
        </w:tc>
        <w:tc>
          <w:tcPr>
            <w:tcW w:w="1419" w:type="pct"/>
            <w:noWrap w:val="0"/>
            <w:vAlign w:val="center"/>
          </w:tcPr>
          <w:p w14:paraId="73CF8E1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40</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6A54E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621786B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37FDA8A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1E40223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521EB0D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塑料板、宝丽板贴面</w:t>
            </w:r>
          </w:p>
        </w:tc>
        <w:tc>
          <w:tcPr>
            <w:tcW w:w="1419" w:type="pct"/>
            <w:noWrap w:val="0"/>
            <w:vAlign w:val="center"/>
          </w:tcPr>
          <w:p w14:paraId="6D74B53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30</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35BF7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5AF3B7D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0F51BE5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08DAC9F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0F0822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胶面壁纸、PVC壁纸（综合）</w:t>
            </w:r>
          </w:p>
        </w:tc>
        <w:tc>
          <w:tcPr>
            <w:tcW w:w="1419" w:type="pct"/>
            <w:noWrap w:val="0"/>
            <w:vAlign w:val="center"/>
          </w:tcPr>
          <w:p w14:paraId="069F340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20元/m²</w:t>
            </w:r>
          </w:p>
        </w:tc>
      </w:tr>
      <w:tr w14:paraId="3846A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1E80B42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0638728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1D2189C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E918BF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墙布（综合）</w:t>
            </w:r>
          </w:p>
        </w:tc>
        <w:tc>
          <w:tcPr>
            <w:tcW w:w="1419" w:type="pct"/>
            <w:noWrap w:val="0"/>
            <w:vAlign w:val="center"/>
          </w:tcPr>
          <w:p w14:paraId="07EB265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50</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3C667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72C1C21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6748346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4EC62C5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089E492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3"/>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内墙面贴面</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瓷砖等综合</w:t>
            </w:r>
            <w:r>
              <w:rPr>
                <w:rFonts w:hint="eastAsia" w:ascii="Times New Roman" w:hAnsi="Times New Roman" w:eastAsia="宋体" w:cs="Times New Roman"/>
                <w:b w:val="0"/>
                <w:bCs w:val="0"/>
                <w:color w:val="000000"/>
                <w:kern w:val="0"/>
                <w:sz w:val="24"/>
                <w:szCs w:val="24"/>
                <w:u w:val="none" w:color="auto"/>
                <w:lang w:eastAsia="zh-CN" w:bidi="ar"/>
              </w:rPr>
              <w:t>）</w:t>
            </w:r>
          </w:p>
        </w:tc>
        <w:tc>
          <w:tcPr>
            <w:tcW w:w="1419" w:type="pct"/>
            <w:noWrap w:val="0"/>
            <w:vAlign w:val="center"/>
          </w:tcPr>
          <w:p w14:paraId="73F5C07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45</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7B3C0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4EF8FDD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72EC5BC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7C36A92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9C4C32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裱糊墙纸贴面</w:t>
            </w:r>
          </w:p>
        </w:tc>
        <w:tc>
          <w:tcPr>
            <w:tcW w:w="1419" w:type="pct"/>
            <w:noWrap w:val="0"/>
            <w:vAlign w:val="center"/>
          </w:tcPr>
          <w:p w14:paraId="325BCDF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15</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5FEB2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3124C1F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61C52F6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13DE988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3D68FF9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软包</w:t>
            </w:r>
          </w:p>
        </w:tc>
        <w:tc>
          <w:tcPr>
            <w:tcW w:w="1419" w:type="pct"/>
            <w:noWrap w:val="0"/>
            <w:vAlign w:val="center"/>
          </w:tcPr>
          <w:p w14:paraId="6FA872B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60元/m²</w:t>
            </w:r>
          </w:p>
        </w:tc>
      </w:tr>
      <w:tr w14:paraId="117D0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204402D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3F4B843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5041321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2543958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陶瓷锦砖</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马赛克</w:t>
            </w:r>
            <w:r>
              <w:rPr>
                <w:rFonts w:hint="eastAsia" w:ascii="Times New Roman" w:hAnsi="Times New Roman" w:eastAsia="宋体" w:cs="Times New Roman"/>
                <w:b w:val="0"/>
                <w:bCs w:val="0"/>
                <w:color w:val="000000"/>
                <w:kern w:val="0"/>
                <w:sz w:val="24"/>
                <w:szCs w:val="24"/>
                <w:u w:val="none" w:color="auto"/>
                <w:lang w:eastAsia="zh-CN" w:bidi="ar"/>
              </w:rPr>
              <w:t>）</w:t>
            </w:r>
          </w:p>
        </w:tc>
        <w:tc>
          <w:tcPr>
            <w:tcW w:w="1419" w:type="pct"/>
            <w:noWrap w:val="0"/>
            <w:vAlign w:val="center"/>
          </w:tcPr>
          <w:p w14:paraId="5B33071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80元/m²</w:t>
            </w:r>
          </w:p>
        </w:tc>
      </w:tr>
      <w:tr w14:paraId="5F4F5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3FC2FB5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3ED7067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4D8636D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8E42D8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乳胶漆墙面</w:t>
            </w:r>
          </w:p>
        </w:tc>
        <w:tc>
          <w:tcPr>
            <w:tcW w:w="1419" w:type="pct"/>
            <w:noWrap w:val="0"/>
            <w:vAlign w:val="center"/>
          </w:tcPr>
          <w:p w14:paraId="3D2832F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12</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0B89F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6668E23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7AB48DC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46EFB2C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4341B3F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真石漆（喷砂、干沾石）</w:t>
            </w:r>
          </w:p>
        </w:tc>
        <w:tc>
          <w:tcPr>
            <w:tcW w:w="1419" w:type="pct"/>
            <w:noWrap w:val="0"/>
            <w:vAlign w:val="center"/>
          </w:tcPr>
          <w:p w14:paraId="373E8E7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30元/m²</w:t>
            </w:r>
          </w:p>
        </w:tc>
      </w:tr>
      <w:tr w14:paraId="6C6CA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7CCB5C2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4C967E1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7185DEC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5AB4B29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简易</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一般/高档</w:t>
            </w:r>
            <w:r>
              <w:rPr>
                <w:rFonts w:hint="eastAsia" w:ascii="Times New Roman" w:hAnsi="Times New Roman" w:eastAsia="宋体" w:cs="Times New Roman"/>
                <w:b w:val="0"/>
                <w:bCs w:val="0"/>
                <w:color w:val="000000"/>
                <w:kern w:val="0"/>
                <w:sz w:val="24"/>
                <w:szCs w:val="24"/>
                <w:u w:val="none" w:color="auto"/>
                <w:lang w:eastAsia="zh-CN" w:bidi="ar"/>
              </w:rPr>
              <w:t>）</w:t>
            </w:r>
            <w:r>
              <w:rPr>
                <w:rFonts w:hint="default" w:ascii="Times New Roman" w:hAnsi="Times New Roman" w:eastAsia="宋体" w:cs="Times New Roman"/>
                <w:b w:val="0"/>
                <w:bCs w:val="0"/>
                <w:color w:val="000000"/>
                <w:kern w:val="0"/>
                <w:sz w:val="24"/>
                <w:szCs w:val="24"/>
                <w:u w:val="none" w:color="auto"/>
                <w:lang w:bidi="ar"/>
              </w:rPr>
              <w:t>墙纸</w:t>
            </w:r>
          </w:p>
        </w:tc>
        <w:tc>
          <w:tcPr>
            <w:tcW w:w="1419" w:type="pct"/>
            <w:noWrap w:val="0"/>
            <w:vAlign w:val="center"/>
          </w:tcPr>
          <w:p w14:paraId="449B94D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val="en-US" w:eastAsia="zh-CN" w:bidi="ar"/>
              </w:rPr>
            </w:pPr>
            <w:r>
              <w:rPr>
                <w:rFonts w:hint="default" w:ascii="Times New Roman" w:hAnsi="Times New Roman" w:eastAsia="宋体" w:cs="Times New Roman"/>
                <w:b w:val="0"/>
                <w:bCs w:val="0"/>
                <w:color w:val="000000"/>
                <w:kern w:val="0"/>
                <w:sz w:val="24"/>
                <w:szCs w:val="24"/>
                <w:u w:val="none" w:color="auto"/>
                <w:lang w:bidi="ar"/>
              </w:rPr>
              <w:t>10（30/50）元/m²</w:t>
            </w:r>
          </w:p>
        </w:tc>
      </w:tr>
      <w:tr w14:paraId="571B6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279" w:type="pct"/>
            <w:vMerge w:val="continue"/>
            <w:noWrap w:val="0"/>
            <w:vAlign w:val="center"/>
          </w:tcPr>
          <w:p w14:paraId="3059CE0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348906B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112E04A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47C4C51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石膏线条</w:t>
            </w:r>
          </w:p>
        </w:tc>
        <w:tc>
          <w:tcPr>
            <w:tcW w:w="1419" w:type="pct"/>
            <w:noWrap w:val="0"/>
            <w:vAlign w:val="center"/>
          </w:tcPr>
          <w:p w14:paraId="629C607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6</w:t>
            </w:r>
            <w:r>
              <w:rPr>
                <w:rFonts w:hint="default" w:ascii="Times New Roman" w:hAnsi="Times New Roman" w:eastAsia="宋体" w:cs="Times New Roman"/>
                <w:b w:val="0"/>
                <w:bCs w:val="0"/>
                <w:color w:val="000000"/>
                <w:kern w:val="0"/>
                <w:sz w:val="24"/>
                <w:szCs w:val="24"/>
                <w:highlight w:val="none"/>
                <w:u w:val="none" w:color="auto"/>
                <w:lang w:val="en-US" w:eastAsia="zh-CN" w:bidi="ar"/>
              </w:rPr>
              <w:t>元/m</w:t>
            </w:r>
          </w:p>
        </w:tc>
      </w:tr>
      <w:tr w14:paraId="60F94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restart"/>
            <w:noWrap w:val="0"/>
            <w:vAlign w:val="center"/>
          </w:tcPr>
          <w:p w14:paraId="3E170274">
            <w:pPr>
              <w:pStyle w:val="13"/>
              <w:keepNext w:val="0"/>
              <w:keepLines w:val="0"/>
              <w:pageBreakBefore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装饰</w:t>
            </w:r>
          </w:p>
          <w:p w14:paraId="7836F333">
            <w:pPr>
              <w:pStyle w:val="13"/>
              <w:keepNext w:val="0"/>
              <w:keepLines w:val="0"/>
              <w:pageBreakBefore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cs="Times New Roman"/>
                <w:b w:val="0"/>
                <w:bCs w:val="0"/>
                <w:sz w:val="24"/>
                <w:szCs w:val="24"/>
                <w:u w:val="none" w:color="auto"/>
              </w:rPr>
              <w:t>部</w:t>
            </w:r>
            <w:r>
              <w:rPr>
                <w:rFonts w:hint="default" w:ascii="Times New Roman" w:hAnsi="Times New Roman" w:cs="Times New Roman"/>
                <w:b w:val="0"/>
                <w:bCs w:val="0"/>
                <w:spacing w:val="-3"/>
                <w:sz w:val="24"/>
                <w:szCs w:val="24"/>
                <w:u w:val="none" w:color="auto"/>
              </w:rPr>
              <w:t>分</w:t>
            </w:r>
          </w:p>
        </w:tc>
        <w:tc>
          <w:tcPr>
            <w:tcW w:w="328" w:type="pct"/>
            <w:vMerge w:val="restart"/>
            <w:noWrap w:val="0"/>
            <w:vAlign w:val="center"/>
          </w:tcPr>
          <w:p w14:paraId="51B3C3CD">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bidi="ar"/>
              </w:rPr>
            </w:pPr>
            <w:r>
              <w:rPr>
                <w:rFonts w:hint="default" w:ascii="Times New Roman" w:hAnsi="Times New Roman" w:eastAsia="宋体" w:cs="Times New Roman"/>
                <w:b w:val="0"/>
                <w:bCs w:val="0"/>
                <w:color w:val="000000"/>
                <w:kern w:val="0"/>
                <w:sz w:val="24"/>
                <w:szCs w:val="24"/>
                <w:u w:val="none" w:color="auto"/>
                <w:lang w:bidi="ar"/>
              </w:rPr>
              <w:t>内外</w:t>
            </w:r>
          </w:p>
          <w:p w14:paraId="43B8EB61">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16"/>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装饰</w:t>
            </w:r>
          </w:p>
        </w:tc>
        <w:tc>
          <w:tcPr>
            <w:tcW w:w="355" w:type="pct"/>
            <w:vMerge w:val="restart"/>
            <w:noWrap w:val="0"/>
            <w:vAlign w:val="center"/>
          </w:tcPr>
          <w:p w14:paraId="5030F460">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16"/>
                <w:kern w:val="2"/>
                <w:sz w:val="24"/>
                <w:szCs w:val="24"/>
                <w:u w:val="none" w:color="auto"/>
                <w:lang w:val="en-US" w:eastAsia="zh-CN"/>
              </w:rPr>
            </w:pPr>
            <w:r>
              <w:rPr>
                <w:rFonts w:hint="default" w:ascii="Times New Roman" w:hAnsi="Times New Roman" w:eastAsia="宋体" w:cs="Times New Roman"/>
                <w:b w:val="0"/>
                <w:bCs w:val="0"/>
                <w:color w:val="000000"/>
                <w:kern w:val="0"/>
                <w:sz w:val="24"/>
                <w:szCs w:val="24"/>
                <w:u w:val="none" w:color="auto"/>
                <w:lang w:bidi="ar"/>
              </w:rPr>
              <w:t>顶棚</w:t>
            </w:r>
          </w:p>
        </w:tc>
        <w:tc>
          <w:tcPr>
            <w:tcW w:w="2616" w:type="pct"/>
            <w:noWrap w:val="0"/>
            <w:vAlign w:val="center"/>
          </w:tcPr>
          <w:p w14:paraId="05A2CEE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方木龙骨石膏板、塑料板天棚</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综合</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21A47EF4">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color w:val="000000"/>
                <w:kern w:val="0"/>
                <w:sz w:val="24"/>
                <w:szCs w:val="24"/>
                <w:highlight w:val="none"/>
                <w:u w:val="none" w:color="auto"/>
                <w:lang w:val="en-US" w:eastAsia="zh-CN" w:bidi="ar"/>
              </w:rPr>
              <w:t>35</w:t>
            </w:r>
            <w:r>
              <w:rPr>
                <w:rFonts w:hint="default" w:ascii="Times New Roman" w:hAnsi="Times New Roman" w:eastAsia="宋体" w:cs="Times New Roman"/>
                <w:b w:val="0"/>
                <w:bCs w:val="0"/>
                <w:color w:val="000000"/>
                <w:kern w:val="0"/>
                <w:sz w:val="24"/>
                <w:szCs w:val="24"/>
                <w:highlight w:val="none"/>
                <w:u w:val="none" w:color="auto"/>
                <w:lang w:val="en-US" w:eastAsia="zh-CN" w:bidi="ar"/>
              </w:rPr>
              <w:t>元/m²</w:t>
            </w:r>
          </w:p>
        </w:tc>
      </w:tr>
      <w:tr w14:paraId="20618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1AE5DB9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00FED87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55DD1A3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3805F5D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轻钢龙骨纤维板、钙塑板天棚</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综合</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4D084AA6">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40</w:t>
            </w:r>
            <w:r>
              <w:rPr>
                <w:rFonts w:hint="default" w:ascii="Times New Roman" w:hAnsi="Times New Roman" w:eastAsia="宋体" w:cs="Times New Roman"/>
                <w:b w:val="0"/>
                <w:bCs w:val="0"/>
                <w:kern w:val="0"/>
                <w:sz w:val="24"/>
                <w:szCs w:val="24"/>
                <w:highlight w:val="none"/>
                <w:u w:val="none" w:color="auto"/>
                <w:lang w:bidi="ar"/>
              </w:rPr>
              <w:t>元/m²</w:t>
            </w:r>
          </w:p>
        </w:tc>
      </w:tr>
      <w:tr w14:paraId="3DC83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361A94D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35E3012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3B10EC2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0BB89BF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方木龙骨胶合板面天棚</w:t>
            </w:r>
            <w:r>
              <w:rPr>
                <w:rFonts w:hint="default" w:ascii="Times New Roman" w:hAnsi="Times New Roman" w:eastAsia="方正仿宋_GBK" w:cs="Times New Roman"/>
                <w:color w:val="000000"/>
                <w:sz w:val="24"/>
                <w:szCs w:val="24"/>
                <w:u w:val="none" w:color="auto"/>
              </w:rPr>
              <w:t>〔</w:t>
            </w:r>
            <w:r>
              <w:rPr>
                <w:rFonts w:hint="default" w:ascii="Times New Roman" w:hAnsi="Times New Roman" w:eastAsia="宋体" w:cs="Times New Roman"/>
                <w:b w:val="0"/>
                <w:bCs w:val="0"/>
                <w:kern w:val="0"/>
                <w:sz w:val="24"/>
                <w:szCs w:val="24"/>
                <w:u w:val="none" w:color="auto"/>
                <w:lang w:bidi="ar"/>
              </w:rPr>
              <w:t>三至五夹板</w:t>
            </w:r>
            <w:r>
              <w:rPr>
                <w:rFonts w:hint="default" w:ascii="Times New Roman" w:hAnsi="Times New Roman" w:eastAsia="方正仿宋_GBK" w:cs="Times New Roman"/>
                <w:color w:val="000000"/>
                <w:sz w:val="24"/>
                <w:szCs w:val="24"/>
                <w:u w:val="none" w:color="auto"/>
              </w:rPr>
              <w:t>〕</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综合</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70AFB3C0">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45</w:t>
            </w:r>
            <w:r>
              <w:rPr>
                <w:rFonts w:hint="default" w:ascii="Times New Roman" w:hAnsi="Times New Roman" w:eastAsia="宋体" w:cs="Times New Roman"/>
                <w:b w:val="0"/>
                <w:bCs w:val="0"/>
                <w:kern w:val="0"/>
                <w:sz w:val="24"/>
                <w:szCs w:val="24"/>
                <w:highlight w:val="none"/>
                <w:u w:val="none" w:color="auto"/>
                <w:lang w:val="en-US" w:eastAsia="zh-CN" w:bidi="ar"/>
              </w:rPr>
              <w:t>元/m²</w:t>
            </w:r>
          </w:p>
        </w:tc>
      </w:tr>
      <w:tr w14:paraId="3224A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5801DD4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3385E80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228149D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14E26A3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方木</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轻钢</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龙骨柚木板、铝塑板天棚</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综合）</w:t>
            </w:r>
          </w:p>
        </w:tc>
        <w:tc>
          <w:tcPr>
            <w:tcW w:w="1419" w:type="pct"/>
            <w:noWrap w:val="0"/>
            <w:vAlign w:val="center"/>
          </w:tcPr>
          <w:p w14:paraId="6A686C8D">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70元/m²</w:t>
            </w:r>
          </w:p>
        </w:tc>
      </w:tr>
      <w:tr w14:paraId="65310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787A21E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4CF78FF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1A6E1C3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101566B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铝合金龙骨镜面玻璃天棚</w:t>
            </w:r>
          </w:p>
        </w:tc>
        <w:tc>
          <w:tcPr>
            <w:tcW w:w="1419" w:type="pct"/>
            <w:noWrap w:val="0"/>
            <w:vAlign w:val="center"/>
          </w:tcPr>
          <w:p w14:paraId="6FEC1660">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80元/m²</w:t>
            </w:r>
          </w:p>
        </w:tc>
      </w:tr>
      <w:tr w14:paraId="556BF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7B1CBD4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7CC1F46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3B3FBF9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76AD3E9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铝合金龙骨镜面不锈钢天棚</w:t>
            </w:r>
          </w:p>
        </w:tc>
        <w:tc>
          <w:tcPr>
            <w:tcW w:w="1419" w:type="pct"/>
            <w:noWrap w:val="0"/>
            <w:vAlign w:val="center"/>
          </w:tcPr>
          <w:p w14:paraId="12710127">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200元/m²</w:t>
            </w:r>
          </w:p>
        </w:tc>
      </w:tr>
      <w:tr w14:paraId="18396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645DE84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2CE2EB7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350F9E0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31BB234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隔热层</w:t>
            </w:r>
          </w:p>
        </w:tc>
        <w:tc>
          <w:tcPr>
            <w:tcW w:w="1419" w:type="pct"/>
            <w:noWrap w:val="0"/>
            <w:vAlign w:val="center"/>
          </w:tcPr>
          <w:p w14:paraId="5B04E327">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50元/m²</w:t>
            </w:r>
          </w:p>
        </w:tc>
      </w:tr>
      <w:tr w14:paraId="58EAD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621EA11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24FDFB3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159A75B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7B64174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阁楼隔热屋面</w:t>
            </w:r>
          </w:p>
        </w:tc>
        <w:tc>
          <w:tcPr>
            <w:tcW w:w="1419" w:type="pct"/>
            <w:noWrap w:val="0"/>
            <w:vAlign w:val="center"/>
          </w:tcPr>
          <w:p w14:paraId="3D7BC8F1">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200元/m²</w:t>
            </w:r>
          </w:p>
        </w:tc>
      </w:tr>
      <w:tr w14:paraId="60224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770E71B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78959C4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2DBD3F0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1566268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木工板造型吊顶</w:t>
            </w:r>
          </w:p>
        </w:tc>
        <w:tc>
          <w:tcPr>
            <w:tcW w:w="1419" w:type="pct"/>
            <w:noWrap w:val="0"/>
            <w:vAlign w:val="center"/>
          </w:tcPr>
          <w:p w14:paraId="6D4B5E25">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100元/m²</w:t>
            </w:r>
          </w:p>
        </w:tc>
      </w:tr>
      <w:tr w14:paraId="06D1D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372FEA6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28924CA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4274A3F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75A5146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集成吊顶</w:t>
            </w:r>
          </w:p>
        </w:tc>
        <w:tc>
          <w:tcPr>
            <w:tcW w:w="1419" w:type="pct"/>
            <w:noWrap w:val="0"/>
            <w:vAlign w:val="center"/>
          </w:tcPr>
          <w:p w14:paraId="45696698">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130</w:t>
            </w:r>
            <w:r>
              <w:rPr>
                <w:rFonts w:hint="default" w:ascii="Times New Roman" w:hAnsi="Times New Roman" w:eastAsia="宋体" w:cs="Times New Roman"/>
                <w:b w:val="0"/>
                <w:bCs w:val="0"/>
                <w:kern w:val="0"/>
                <w:sz w:val="24"/>
                <w:szCs w:val="24"/>
                <w:highlight w:val="none"/>
                <w:u w:val="none" w:color="auto"/>
                <w:lang w:val="en-US" w:eastAsia="zh-CN" w:bidi="ar"/>
              </w:rPr>
              <w:t>元/m²</w:t>
            </w:r>
          </w:p>
        </w:tc>
      </w:tr>
      <w:tr w14:paraId="34A59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4E2A411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28" w:type="pct"/>
            <w:vMerge w:val="continue"/>
            <w:noWrap w:val="0"/>
            <w:vAlign w:val="center"/>
          </w:tcPr>
          <w:p w14:paraId="4825489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355" w:type="pct"/>
            <w:vMerge w:val="continue"/>
            <w:noWrap w:val="0"/>
            <w:vAlign w:val="center"/>
          </w:tcPr>
          <w:p w14:paraId="0D5A19E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11CB1E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简易集成吊顶</w:t>
            </w:r>
          </w:p>
        </w:tc>
        <w:tc>
          <w:tcPr>
            <w:tcW w:w="1419" w:type="pct"/>
            <w:noWrap w:val="0"/>
            <w:vAlign w:val="center"/>
          </w:tcPr>
          <w:p w14:paraId="60DE81D0">
            <w:pPr>
              <w:keepNext w:val="0"/>
              <w:keepLines w:val="0"/>
              <w:pageBreakBefore w:val="0"/>
              <w:widowControl w:val="0"/>
              <w:kinsoku/>
              <w:wordWrap/>
              <w:overflowPunct/>
              <w:topLinePunct w:val="0"/>
              <w:autoSpaceDE/>
              <w:autoSpaceDN/>
              <w:bidi w:val="0"/>
              <w:adjustRightInd/>
              <w:snapToGrid/>
              <w:spacing w:line="590" w:lineRule="exact"/>
              <w:jc w:val="center"/>
              <w:textAlignment w:val="center"/>
              <w:rPr>
                <w:rFonts w:hint="eastAsia"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50元/m²</w:t>
            </w:r>
          </w:p>
        </w:tc>
      </w:tr>
      <w:tr w14:paraId="06ABD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327D5B8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restart"/>
            <w:noWrap w:val="0"/>
            <w:vAlign w:val="center"/>
          </w:tcPr>
          <w:p w14:paraId="70D916C5">
            <w:pPr>
              <w:keepLines w:val="0"/>
              <w:pageBreakBefore w:val="0"/>
              <w:widowControl/>
              <w:kinsoku/>
              <w:wordWrap/>
              <w:overflowPunct/>
              <w:topLinePunct w:val="0"/>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bidi="ar"/>
              </w:rPr>
            </w:pPr>
            <w:r>
              <w:rPr>
                <w:rFonts w:hint="default" w:ascii="Times New Roman" w:hAnsi="Times New Roman" w:eastAsia="宋体" w:cs="Times New Roman"/>
                <w:b w:val="0"/>
                <w:bCs w:val="0"/>
                <w:color w:val="000000"/>
                <w:kern w:val="0"/>
                <w:sz w:val="24"/>
                <w:szCs w:val="24"/>
                <w:u w:val="none" w:color="auto"/>
                <w:lang w:bidi="ar"/>
              </w:rPr>
              <w:t>细木</w:t>
            </w:r>
          </w:p>
          <w:p w14:paraId="1D7527D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装修</w:t>
            </w:r>
          </w:p>
        </w:tc>
        <w:tc>
          <w:tcPr>
            <w:tcW w:w="2616" w:type="pct"/>
            <w:noWrap w:val="0"/>
            <w:vAlign w:val="center"/>
          </w:tcPr>
          <w:p w14:paraId="25F38B20">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胶合板、木板面吊柜</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综合</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19624BEE">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150</w:t>
            </w:r>
            <w:r>
              <w:rPr>
                <w:rFonts w:hint="default" w:ascii="Times New Roman" w:hAnsi="Times New Roman" w:eastAsia="宋体" w:cs="Times New Roman"/>
                <w:b w:val="0"/>
                <w:bCs w:val="0"/>
                <w:kern w:val="0"/>
                <w:sz w:val="24"/>
                <w:szCs w:val="24"/>
                <w:highlight w:val="none"/>
                <w:u w:val="none" w:color="auto"/>
                <w:lang w:val="en-US" w:eastAsia="zh-CN" w:bidi="ar"/>
              </w:rPr>
              <w:t>元/m²</w:t>
            </w:r>
          </w:p>
        </w:tc>
      </w:tr>
      <w:tr w14:paraId="3FC92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1879F5E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480448B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56391007">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胶合板、木板面壁柜（综合）</w:t>
            </w:r>
          </w:p>
        </w:tc>
        <w:tc>
          <w:tcPr>
            <w:tcW w:w="1419" w:type="pct"/>
            <w:noWrap w:val="0"/>
            <w:vAlign w:val="center"/>
          </w:tcPr>
          <w:p w14:paraId="74A028B3">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150</w:t>
            </w:r>
            <w:r>
              <w:rPr>
                <w:rFonts w:hint="default" w:ascii="Times New Roman" w:hAnsi="Times New Roman" w:eastAsia="宋体" w:cs="Times New Roman"/>
                <w:b w:val="0"/>
                <w:bCs w:val="0"/>
                <w:kern w:val="0"/>
                <w:sz w:val="24"/>
                <w:szCs w:val="24"/>
                <w:highlight w:val="none"/>
                <w:u w:val="none" w:color="auto"/>
                <w:lang w:val="en-US" w:eastAsia="zh-CN" w:bidi="ar"/>
              </w:rPr>
              <w:t>元/m²</w:t>
            </w:r>
          </w:p>
        </w:tc>
      </w:tr>
      <w:tr w14:paraId="7BA20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2EC8296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50BCA45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570787A4">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木隔断、铝合金隔断</w:t>
            </w:r>
          </w:p>
        </w:tc>
        <w:tc>
          <w:tcPr>
            <w:tcW w:w="1419" w:type="pct"/>
            <w:noWrap w:val="0"/>
            <w:vAlign w:val="center"/>
          </w:tcPr>
          <w:p w14:paraId="3596350D">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150</w:t>
            </w:r>
            <w:r>
              <w:rPr>
                <w:rFonts w:hint="default" w:ascii="Times New Roman" w:hAnsi="Times New Roman" w:eastAsia="宋体" w:cs="Times New Roman"/>
                <w:b w:val="0"/>
                <w:bCs w:val="0"/>
                <w:kern w:val="0"/>
                <w:sz w:val="24"/>
                <w:szCs w:val="24"/>
                <w:highlight w:val="none"/>
                <w:u w:val="none" w:color="auto"/>
                <w:lang w:val="en-US" w:eastAsia="zh-CN" w:bidi="ar"/>
              </w:rPr>
              <w:t>元/m²</w:t>
            </w:r>
          </w:p>
        </w:tc>
      </w:tr>
      <w:tr w14:paraId="69F0F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049F158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4139820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46690903">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eastAsia"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胶合板、木板面影视墙</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立面面积</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2D271CB9">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150元/m²</w:t>
            </w:r>
          </w:p>
        </w:tc>
      </w:tr>
      <w:tr w14:paraId="51EF2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4A163DD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3E9A4C1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15994FD1">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简易壁柜、吊柜、货架等</w:t>
            </w:r>
          </w:p>
        </w:tc>
        <w:tc>
          <w:tcPr>
            <w:tcW w:w="1419" w:type="pct"/>
            <w:noWrap w:val="0"/>
            <w:vAlign w:val="center"/>
          </w:tcPr>
          <w:p w14:paraId="48BED70F">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80元/m²</w:t>
            </w:r>
          </w:p>
        </w:tc>
      </w:tr>
      <w:tr w14:paraId="24F90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57307AB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7DB6EE9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4CE17EB5">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组合橱柜</w:t>
            </w:r>
          </w:p>
        </w:tc>
        <w:tc>
          <w:tcPr>
            <w:tcW w:w="1419" w:type="pct"/>
            <w:noWrap w:val="0"/>
            <w:vAlign w:val="center"/>
          </w:tcPr>
          <w:p w14:paraId="3A0FBF24">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200元/m²</w:t>
            </w:r>
          </w:p>
        </w:tc>
      </w:tr>
      <w:tr w14:paraId="57784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4D9218A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3BBD18D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2820ADB6">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3"/>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罗马柱</w:t>
            </w:r>
          </w:p>
        </w:tc>
        <w:tc>
          <w:tcPr>
            <w:tcW w:w="1419" w:type="pct"/>
            <w:noWrap w:val="0"/>
            <w:vAlign w:val="center"/>
          </w:tcPr>
          <w:p w14:paraId="2CBD15FB">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30</w:t>
            </w:r>
            <w:r>
              <w:rPr>
                <w:rFonts w:hint="eastAsia" w:ascii="Times New Roman" w:hAnsi="Times New Roman" w:eastAsia="宋体" w:cs="Times New Roman"/>
                <w:b w:val="0"/>
                <w:bCs w:val="0"/>
                <w:kern w:val="0"/>
                <w:sz w:val="24"/>
                <w:szCs w:val="24"/>
                <w:u w:val="none" w:color="auto"/>
                <w:lang w:eastAsia="zh-CN" w:bidi="ar"/>
              </w:rPr>
              <w:t>元</w:t>
            </w:r>
            <w:r>
              <w:rPr>
                <w:rFonts w:hint="default" w:ascii="Times New Roman" w:hAnsi="Times New Roman" w:eastAsia="宋体" w:cs="Times New Roman"/>
                <w:b w:val="0"/>
                <w:bCs w:val="0"/>
                <w:kern w:val="0"/>
                <w:sz w:val="24"/>
                <w:szCs w:val="24"/>
                <w:u w:val="none" w:color="auto"/>
                <w:lang w:bidi="ar"/>
              </w:rPr>
              <w:t>/m</w:t>
            </w:r>
          </w:p>
        </w:tc>
      </w:tr>
      <w:tr w14:paraId="054D6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4D6C1FB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098DED0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034FCF9D">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踢脚线</w:t>
            </w:r>
          </w:p>
        </w:tc>
        <w:tc>
          <w:tcPr>
            <w:tcW w:w="1419" w:type="pct"/>
            <w:noWrap w:val="0"/>
            <w:vAlign w:val="center"/>
          </w:tcPr>
          <w:p w14:paraId="7F7594B8">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10元/m</w:t>
            </w:r>
          </w:p>
        </w:tc>
      </w:tr>
      <w:tr w14:paraId="15482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68F163A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36EE9F9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064DBCB3">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木踢脚线</w:t>
            </w:r>
          </w:p>
        </w:tc>
        <w:tc>
          <w:tcPr>
            <w:tcW w:w="1419" w:type="pct"/>
            <w:noWrap w:val="0"/>
            <w:vAlign w:val="center"/>
          </w:tcPr>
          <w:p w14:paraId="0C88486B">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15元/m</w:t>
            </w:r>
          </w:p>
        </w:tc>
      </w:tr>
      <w:tr w14:paraId="41C71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5E3E24C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3A46558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7594A56">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琉璃瓦</w:t>
            </w:r>
          </w:p>
        </w:tc>
        <w:tc>
          <w:tcPr>
            <w:tcW w:w="1419" w:type="pct"/>
            <w:noWrap w:val="0"/>
            <w:vAlign w:val="center"/>
          </w:tcPr>
          <w:p w14:paraId="4216CAAB">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30元/m²</w:t>
            </w:r>
          </w:p>
        </w:tc>
      </w:tr>
      <w:tr w14:paraId="629ED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26AB4CD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509C6AA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F0C8243">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铁楼梯（含扶手）</w:t>
            </w:r>
          </w:p>
        </w:tc>
        <w:tc>
          <w:tcPr>
            <w:tcW w:w="1419" w:type="pct"/>
            <w:noWrap w:val="0"/>
            <w:vAlign w:val="center"/>
          </w:tcPr>
          <w:p w14:paraId="473530C4">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200元/m</w:t>
            </w:r>
          </w:p>
        </w:tc>
      </w:tr>
      <w:tr w14:paraId="3D988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279" w:type="pct"/>
            <w:vMerge w:val="continue"/>
            <w:noWrap w:val="0"/>
            <w:vAlign w:val="center"/>
          </w:tcPr>
          <w:p w14:paraId="1BB3E60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06DDDD2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48F197AD">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木楼梯</w:t>
            </w:r>
          </w:p>
        </w:tc>
        <w:tc>
          <w:tcPr>
            <w:tcW w:w="1419" w:type="pct"/>
            <w:noWrap w:val="0"/>
            <w:vAlign w:val="center"/>
          </w:tcPr>
          <w:p w14:paraId="719C3210">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150元/m</w:t>
            </w:r>
          </w:p>
        </w:tc>
      </w:tr>
      <w:tr w14:paraId="123D0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restart"/>
            <w:noWrap w:val="0"/>
            <w:vAlign w:val="center"/>
          </w:tcPr>
          <w:p w14:paraId="78D80E0F">
            <w:pPr>
              <w:pStyle w:val="13"/>
              <w:keepNext w:val="0"/>
              <w:keepLines w:val="0"/>
              <w:pageBreakBefore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装饰</w:t>
            </w:r>
          </w:p>
          <w:p w14:paraId="5109CA3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部</w:t>
            </w:r>
            <w:r>
              <w:rPr>
                <w:rFonts w:hint="default" w:ascii="Times New Roman" w:hAnsi="Times New Roman" w:cs="Times New Roman"/>
                <w:b w:val="0"/>
                <w:bCs w:val="0"/>
                <w:spacing w:val="-3"/>
                <w:sz w:val="24"/>
                <w:szCs w:val="24"/>
                <w:u w:val="none" w:color="auto"/>
              </w:rPr>
              <w:t>分</w:t>
            </w:r>
          </w:p>
        </w:tc>
        <w:tc>
          <w:tcPr>
            <w:tcW w:w="684" w:type="pct"/>
            <w:gridSpan w:val="2"/>
            <w:vMerge w:val="restart"/>
            <w:noWrap w:val="0"/>
            <w:vAlign w:val="center"/>
          </w:tcPr>
          <w:p w14:paraId="7D1E2986">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4"/>
                <w:szCs w:val="24"/>
                <w:u w:val="none" w:color="auto"/>
                <w:lang w:bidi="ar"/>
              </w:rPr>
            </w:pPr>
            <w:r>
              <w:rPr>
                <w:rFonts w:hint="default" w:ascii="Times New Roman" w:hAnsi="Times New Roman" w:eastAsia="宋体" w:cs="Times New Roman"/>
                <w:b w:val="0"/>
                <w:bCs w:val="0"/>
                <w:color w:val="000000"/>
                <w:kern w:val="0"/>
                <w:sz w:val="24"/>
                <w:szCs w:val="24"/>
                <w:u w:val="none" w:color="auto"/>
                <w:lang w:bidi="ar"/>
              </w:rPr>
              <w:t>细木</w:t>
            </w:r>
          </w:p>
          <w:p w14:paraId="1FE7DCE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装修</w:t>
            </w:r>
          </w:p>
        </w:tc>
        <w:tc>
          <w:tcPr>
            <w:tcW w:w="2616" w:type="pct"/>
            <w:noWrap w:val="0"/>
            <w:vAlign w:val="center"/>
          </w:tcPr>
          <w:p w14:paraId="391BE4DB">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不锈钢（木）栏杆</w:t>
            </w:r>
          </w:p>
        </w:tc>
        <w:tc>
          <w:tcPr>
            <w:tcW w:w="1419" w:type="pct"/>
            <w:noWrap w:val="0"/>
            <w:vAlign w:val="center"/>
          </w:tcPr>
          <w:p w14:paraId="3EB16BA2">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6</w:t>
            </w:r>
            <w:r>
              <w:rPr>
                <w:rFonts w:hint="default" w:ascii="Times New Roman" w:hAnsi="Times New Roman" w:eastAsia="宋体" w:cs="Times New Roman"/>
                <w:b w:val="0"/>
                <w:bCs w:val="0"/>
                <w:kern w:val="0"/>
                <w:sz w:val="24"/>
                <w:szCs w:val="24"/>
                <w:highlight w:val="none"/>
                <w:u w:val="none" w:color="auto"/>
                <w:lang w:val="en-US" w:eastAsia="zh-CN" w:bidi="ar"/>
              </w:rPr>
              <w:t>0（</w:t>
            </w:r>
            <w:r>
              <w:rPr>
                <w:rFonts w:hint="eastAsia" w:ascii="Times New Roman" w:hAnsi="Times New Roman" w:eastAsia="宋体" w:cs="Times New Roman"/>
                <w:b w:val="0"/>
                <w:bCs w:val="0"/>
                <w:kern w:val="0"/>
                <w:sz w:val="24"/>
                <w:szCs w:val="24"/>
                <w:highlight w:val="none"/>
                <w:u w:val="none" w:color="auto"/>
                <w:lang w:val="en-US" w:eastAsia="zh-CN" w:bidi="ar"/>
              </w:rPr>
              <w:t>12</w:t>
            </w:r>
            <w:r>
              <w:rPr>
                <w:rFonts w:hint="default" w:ascii="Times New Roman" w:hAnsi="Times New Roman" w:eastAsia="宋体" w:cs="Times New Roman"/>
                <w:b w:val="0"/>
                <w:bCs w:val="0"/>
                <w:kern w:val="0"/>
                <w:sz w:val="24"/>
                <w:szCs w:val="24"/>
                <w:highlight w:val="none"/>
                <w:u w:val="none" w:color="auto"/>
                <w:lang w:val="en-US" w:eastAsia="zh-CN" w:bidi="ar"/>
              </w:rPr>
              <w:t>0）元/m</w:t>
            </w:r>
          </w:p>
        </w:tc>
      </w:tr>
      <w:tr w14:paraId="084B7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43CC3F8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66B7C6A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395D3E8A">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铁栏杆</w:t>
            </w:r>
          </w:p>
        </w:tc>
        <w:tc>
          <w:tcPr>
            <w:tcW w:w="1419" w:type="pct"/>
            <w:noWrap w:val="0"/>
            <w:vAlign w:val="center"/>
          </w:tcPr>
          <w:p w14:paraId="53D90756">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spacing w:val="4"/>
                <w:kern w:val="2"/>
                <w:sz w:val="24"/>
                <w:szCs w:val="24"/>
                <w:u w:val="none" w:color="auto"/>
                <w:lang w:val="en-US" w:eastAsia="zh-CN" w:bidi="ar-SA"/>
              </w:rPr>
            </w:pPr>
            <w:r>
              <w:rPr>
                <w:rFonts w:hint="default" w:ascii="Times New Roman" w:hAnsi="Times New Roman" w:eastAsia="宋体" w:cs="Times New Roman"/>
                <w:b w:val="0"/>
                <w:bCs w:val="0"/>
                <w:kern w:val="0"/>
                <w:sz w:val="24"/>
                <w:szCs w:val="24"/>
                <w:u w:val="none" w:color="auto"/>
                <w:lang w:bidi="ar"/>
              </w:rPr>
              <w:t>50元/m</w:t>
            </w:r>
          </w:p>
        </w:tc>
      </w:tr>
      <w:tr w14:paraId="7D45D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39AEB92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29C6F79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36F69AD4">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spacing w:val="8"/>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木包窗小（大</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23769F9E">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spacing w:val="4"/>
                <w:kern w:val="2"/>
                <w:sz w:val="24"/>
                <w:szCs w:val="24"/>
                <w:u w:val="none" w:color="auto"/>
                <w:lang w:val="en-US" w:eastAsia="zh-CN" w:bidi="ar-SA"/>
              </w:rPr>
            </w:pPr>
            <w:r>
              <w:rPr>
                <w:rFonts w:hint="default" w:ascii="Times New Roman" w:hAnsi="Times New Roman" w:eastAsia="宋体" w:cs="Times New Roman"/>
                <w:b w:val="0"/>
                <w:bCs w:val="0"/>
                <w:kern w:val="0"/>
                <w:sz w:val="24"/>
                <w:szCs w:val="24"/>
                <w:u w:val="none" w:color="auto"/>
                <w:lang w:bidi="ar"/>
              </w:rPr>
              <w:t>100（200）元/扇</w:t>
            </w:r>
          </w:p>
        </w:tc>
      </w:tr>
      <w:tr w14:paraId="4F6C2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3D16467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1F6BF0B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3240BE29">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木包门套小（大</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1872399A">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300（400）元/扇</w:t>
            </w:r>
          </w:p>
        </w:tc>
      </w:tr>
      <w:tr w14:paraId="5D1FA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restart"/>
            <w:noWrap w:val="0"/>
            <w:vAlign w:val="center"/>
          </w:tcPr>
          <w:p w14:paraId="075D92EA">
            <w:pPr>
              <w:pStyle w:val="13"/>
              <w:keepLines w:val="0"/>
              <w:pageBreakBefore w:val="0"/>
              <w:kinsoku/>
              <w:wordWrap/>
              <w:overflowPunct/>
              <w:topLinePunct w:val="0"/>
              <w:bidi w:val="0"/>
              <w:adjustRightInd/>
              <w:snapToGrid/>
              <w:spacing w:before="81"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设备</w:t>
            </w:r>
          </w:p>
          <w:p w14:paraId="376FCA1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cs="Times New Roman"/>
                <w:b w:val="0"/>
                <w:bCs w:val="0"/>
                <w:sz w:val="24"/>
                <w:szCs w:val="24"/>
                <w:u w:val="none" w:color="auto"/>
              </w:rPr>
              <w:t>部分</w:t>
            </w:r>
          </w:p>
        </w:tc>
        <w:tc>
          <w:tcPr>
            <w:tcW w:w="684" w:type="pct"/>
            <w:gridSpan w:val="2"/>
            <w:vMerge w:val="restart"/>
            <w:noWrap w:val="0"/>
            <w:vAlign w:val="center"/>
          </w:tcPr>
          <w:p w14:paraId="4BB9CC9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r>
              <w:rPr>
                <w:rFonts w:hint="default" w:ascii="Times New Roman" w:hAnsi="Times New Roman" w:eastAsia="宋体" w:cs="Times New Roman"/>
                <w:b w:val="0"/>
                <w:bCs w:val="0"/>
                <w:color w:val="000000"/>
                <w:kern w:val="0"/>
                <w:sz w:val="24"/>
                <w:szCs w:val="24"/>
                <w:u w:val="none" w:color="auto"/>
                <w:lang w:bidi="ar"/>
              </w:rPr>
              <w:t>水厨卫</w:t>
            </w:r>
          </w:p>
        </w:tc>
        <w:tc>
          <w:tcPr>
            <w:tcW w:w="2616" w:type="pct"/>
            <w:noWrap w:val="0"/>
            <w:vAlign w:val="center"/>
          </w:tcPr>
          <w:p w14:paraId="0BD46321">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洗面盆、洗涤盆</w:t>
            </w:r>
          </w:p>
        </w:tc>
        <w:tc>
          <w:tcPr>
            <w:tcW w:w="1419" w:type="pct"/>
            <w:noWrap w:val="0"/>
            <w:vAlign w:val="center"/>
          </w:tcPr>
          <w:p w14:paraId="117AE346">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150元/个</w:t>
            </w:r>
          </w:p>
        </w:tc>
      </w:tr>
      <w:tr w14:paraId="062F3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3DB3BDF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3CB7B90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6D67200A">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洗面盆（含柜体）</w:t>
            </w:r>
          </w:p>
        </w:tc>
        <w:tc>
          <w:tcPr>
            <w:tcW w:w="1419" w:type="pct"/>
            <w:noWrap w:val="0"/>
            <w:vAlign w:val="center"/>
          </w:tcPr>
          <w:p w14:paraId="13B18EAA">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400</w:t>
            </w:r>
            <w:r>
              <w:rPr>
                <w:rFonts w:hint="default" w:ascii="Times New Roman" w:hAnsi="Times New Roman" w:eastAsia="宋体" w:cs="Times New Roman"/>
                <w:b w:val="0"/>
                <w:bCs w:val="0"/>
                <w:kern w:val="0"/>
                <w:sz w:val="24"/>
                <w:szCs w:val="24"/>
                <w:highlight w:val="none"/>
                <w:u w:val="none" w:color="auto"/>
                <w:lang w:val="en-US" w:eastAsia="zh-CN" w:bidi="ar"/>
              </w:rPr>
              <w:t>元/个</w:t>
            </w:r>
          </w:p>
        </w:tc>
      </w:tr>
      <w:tr w14:paraId="0C9D1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77F5C19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6D0932A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3D31101F">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花岗岩台面面盆</w:t>
            </w:r>
          </w:p>
        </w:tc>
        <w:tc>
          <w:tcPr>
            <w:tcW w:w="1419" w:type="pct"/>
            <w:noWrap w:val="0"/>
            <w:vAlign w:val="center"/>
          </w:tcPr>
          <w:p w14:paraId="6EC952AC">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300元/个</w:t>
            </w:r>
          </w:p>
        </w:tc>
      </w:tr>
      <w:tr w14:paraId="1C8B7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5B39259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77A2723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4FCE3F73">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eastAsia"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固定灶台</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0.6—1.0米宽</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含贴瓷砖</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4A63826D">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150元/m</w:t>
            </w:r>
          </w:p>
        </w:tc>
      </w:tr>
      <w:tr w14:paraId="05E58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0FFD7EC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6CBE65A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705FE041">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热水箱炉灶（含贴瓷砖）</w:t>
            </w:r>
          </w:p>
        </w:tc>
        <w:tc>
          <w:tcPr>
            <w:tcW w:w="1419" w:type="pct"/>
            <w:noWrap w:val="0"/>
            <w:vAlign w:val="center"/>
          </w:tcPr>
          <w:p w14:paraId="5563DB90">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700元/个</w:t>
            </w:r>
          </w:p>
        </w:tc>
      </w:tr>
      <w:tr w14:paraId="07B88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6B23CB6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39D14E3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23AEEDB1">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铸铁</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钢板</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搪瓷浴缸</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1.0—1.7米</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综合</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0F282E17">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300元/个</w:t>
            </w:r>
          </w:p>
        </w:tc>
      </w:tr>
      <w:tr w14:paraId="0845D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0E1201E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783AE77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1581AE53">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坐便器、蹲便器</w:t>
            </w:r>
          </w:p>
        </w:tc>
        <w:tc>
          <w:tcPr>
            <w:tcW w:w="1419" w:type="pct"/>
            <w:noWrap w:val="0"/>
            <w:vAlign w:val="center"/>
          </w:tcPr>
          <w:p w14:paraId="42726405">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150元/个</w:t>
            </w:r>
          </w:p>
        </w:tc>
      </w:tr>
      <w:tr w14:paraId="28988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45354A2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52E6DDA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5C416447">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油烟机搬迁费</w:t>
            </w:r>
          </w:p>
        </w:tc>
        <w:tc>
          <w:tcPr>
            <w:tcW w:w="1419" w:type="pct"/>
            <w:noWrap w:val="0"/>
            <w:vAlign w:val="center"/>
          </w:tcPr>
          <w:p w14:paraId="256EFA43">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150</w:t>
            </w:r>
            <w:r>
              <w:rPr>
                <w:rFonts w:hint="default" w:ascii="Times New Roman" w:hAnsi="Times New Roman" w:eastAsia="宋体" w:cs="Times New Roman"/>
                <w:b w:val="0"/>
                <w:bCs w:val="0"/>
                <w:kern w:val="0"/>
                <w:sz w:val="24"/>
                <w:szCs w:val="24"/>
                <w:highlight w:val="none"/>
                <w:u w:val="none" w:color="auto"/>
                <w:lang w:val="en-US" w:eastAsia="zh-CN" w:bidi="ar"/>
              </w:rPr>
              <w:t>元/个</w:t>
            </w:r>
          </w:p>
        </w:tc>
      </w:tr>
      <w:tr w14:paraId="68A55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2F30522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408446B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2E5DA6F1">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电</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燃气</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热水器搬迁费</w:t>
            </w:r>
          </w:p>
        </w:tc>
        <w:tc>
          <w:tcPr>
            <w:tcW w:w="1419" w:type="pct"/>
            <w:noWrap w:val="0"/>
            <w:vAlign w:val="center"/>
          </w:tcPr>
          <w:p w14:paraId="7173F415">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100</w:t>
            </w:r>
            <w:r>
              <w:rPr>
                <w:rFonts w:hint="default" w:ascii="Times New Roman" w:hAnsi="Times New Roman" w:eastAsia="宋体" w:cs="Times New Roman"/>
                <w:b w:val="0"/>
                <w:bCs w:val="0"/>
                <w:kern w:val="0"/>
                <w:sz w:val="24"/>
                <w:szCs w:val="24"/>
                <w:highlight w:val="none"/>
                <w:u w:val="none" w:color="auto"/>
                <w:lang w:val="en-US" w:eastAsia="zh-CN" w:bidi="ar"/>
              </w:rPr>
              <w:t>元/个</w:t>
            </w:r>
          </w:p>
        </w:tc>
      </w:tr>
      <w:tr w14:paraId="5A839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6152735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3E160E0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2EB5E830">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太阳能（热水器）搬迁费</w:t>
            </w:r>
          </w:p>
        </w:tc>
        <w:tc>
          <w:tcPr>
            <w:tcW w:w="1419" w:type="pct"/>
            <w:noWrap w:val="0"/>
            <w:vAlign w:val="center"/>
          </w:tcPr>
          <w:p w14:paraId="7403FC5C">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240</w:t>
            </w:r>
            <w:r>
              <w:rPr>
                <w:rFonts w:hint="default" w:ascii="Times New Roman" w:hAnsi="Times New Roman" w:eastAsia="宋体" w:cs="Times New Roman"/>
                <w:b w:val="0"/>
                <w:bCs w:val="0"/>
                <w:kern w:val="0"/>
                <w:sz w:val="24"/>
                <w:szCs w:val="24"/>
                <w:highlight w:val="none"/>
                <w:u w:val="none" w:color="auto"/>
                <w:lang w:val="en-US" w:eastAsia="zh-CN" w:bidi="ar"/>
              </w:rPr>
              <w:t>元/个</w:t>
            </w:r>
          </w:p>
        </w:tc>
      </w:tr>
      <w:tr w14:paraId="76ECC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2752415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07FBD02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4B721792">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空调搬迁费</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不分柜式、分体式</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37C058CD">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highlight w:val="none"/>
                <w:u w:val="none" w:color="auto"/>
                <w:lang w:val="en-US" w:eastAsia="zh-CN" w:bidi="ar"/>
              </w:rPr>
            </w:pPr>
            <w:r>
              <w:rPr>
                <w:rFonts w:hint="eastAsia" w:ascii="Times New Roman" w:hAnsi="Times New Roman" w:eastAsia="宋体" w:cs="Times New Roman"/>
                <w:b w:val="0"/>
                <w:bCs w:val="0"/>
                <w:kern w:val="0"/>
                <w:sz w:val="24"/>
                <w:szCs w:val="24"/>
                <w:highlight w:val="none"/>
                <w:u w:val="none" w:color="auto"/>
                <w:lang w:val="en-US" w:eastAsia="zh-CN" w:bidi="ar"/>
              </w:rPr>
              <w:t>240</w:t>
            </w:r>
            <w:r>
              <w:rPr>
                <w:rFonts w:hint="default" w:ascii="Times New Roman" w:hAnsi="Times New Roman" w:eastAsia="宋体" w:cs="Times New Roman"/>
                <w:b w:val="0"/>
                <w:bCs w:val="0"/>
                <w:kern w:val="0"/>
                <w:sz w:val="24"/>
                <w:szCs w:val="24"/>
                <w:highlight w:val="none"/>
                <w:u w:val="none" w:color="auto"/>
                <w:lang w:val="en-US" w:eastAsia="zh-CN" w:bidi="ar"/>
              </w:rPr>
              <w:t>元/台</w:t>
            </w:r>
          </w:p>
        </w:tc>
      </w:tr>
      <w:tr w14:paraId="51774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6E7918A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54FE469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27CFCDFE">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整体橱柜吊柜</w:t>
            </w:r>
            <w:r>
              <w:rPr>
                <w:rFonts w:hint="eastAsia" w:ascii="Times New Roman" w:hAnsi="Times New Roman" w:eastAsia="宋体" w:cs="Times New Roman"/>
                <w:b w:val="0"/>
                <w:bCs w:val="0"/>
                <w:kern w:val="0"/>
                <w:sz w:val="24"/>
                <w:szCs w:val="24"/>
                <w:u w:val="none" w:color="auto"/>
                <w:lang w:eastAsia="zh-CN" w:bidi="ar"/>
              </w:rPr>
              <w:t>（</w:t>
            </w:r>
            <w:r>
              <w:rPr>
                <w:rFonts w:hint="default" w:ascii="Times New Roman" w:hAnsi="Times New Roman" w:eastAsia="宋体" w:cs="Times New Roman"/>
                <w:b w:val="0"/>
                <w:bCs w:val="0"/>
                <w:kern w:val="0"/>
                <w:sz w:val="24"/>
                <w:szCs w:val="24"/>
                <w:u w:val="none" w:color="auto"/>
                <w:lang w:bidi="ar"/>
              </w:rPr>
              <w:t>综合</w:t>
            </w:r>
            <w:r>
              <w:rPr>
                <w:rFonts w:hint="eastAsia" w:ascii="Times New Roman" w:hAnsi="Times New Roman" w:eastAsia="宋体" w:cs="Times New Roman"/>
                <w:b w:val="0"/>
                <w:bCs w:val="0"/>
                <w:kern w:val="0"/>
                <w:sz w:val="24"/>
                <w:szCs w:val="24"/>
                <w:u w:val="none" w:color="auto"/>
                <w:lang w:eastAsia="zh-CN" w:bidi="ar"/>
              </w:rPr>
              <w:t>）</w:t>
            </w:r>
          </w:p>
        </w:tc>
        <w:tc>
          <w:tcPr>
            <w:tcW w:w="1419" w:type="pct"/>
            <w:noWrap w:val="0"/>
            <w:vAlign w:val="center"/>
          </w:tcPr>
          <w:p w14:paraId="6F2C877F">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500元/m</w:t>
            </w:r>
          </w:p>
        </w:tc>
      </w:tr>
      <w:tr w14:paraId="319CD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4D3DB3B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7142ED4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1F639AD4">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整体橱柜底柜（综合、含台面）</w:t>
            </w:r>
          </w:p>
        </w:tc>
        <w:tc>
          <w:tcPr>
            <w:tcW w:w="1419" w:type="pct"/>
            <w:noWrap w:val="0"/>
            <w:vAlign w:val="center"/>
          </w:tcPr>
          <w:p w14:paraId="364CBF29">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600元/m</w:t>
            </w:r>
          </w:p>
        </w:tc>
      </w:tr>
      <w:tr w14:paraId="76E85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79" w:type="pct"/>
            <w:vMerge w:val="continue"/>
            <w:noWrap w:val="0"/>
            <w:vAlign w:val="center"/>
          </w:tcPr>
          <w:p w14:paraId="6DEB9DD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684" w:type="pct"/>
            <w:gridSpan w:val="2"/>
            <w:vMerge w:val="continue"/>
            <w:noWrap w:val="0"/>
            <w:vAlign w:val="center"/>
          </w:tcPr>
          <w:p w14:paraId="32CBDF16">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rPr>
                <w:rFonts w:hint="default" w:ascii="Times New Roman" w:hAnsi="Times New Roman" w:cs="Times New Roman"/>
                <w:b w:val="0"/>
                <w:bCs w:val="0"/>
                <w:sz w:val="24"/>
                <w:szCs w:val="24"/>
                <w:u w:val="none" w:color="auto"/>
              </w:rPr>
            </w:pPr>
          </w:p>
        </w:tc>
        <w:tc>
          <w:tcPr>
            <w:tcW w:w="2616" w:type="pct"/>
            <w:noWrap w:val="0"/>
            <w:vAlign w:val="center"/>
          </w:tcPr>
          <w:p w14:paraId="0584086F">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0" w:firstLineChars="0"/>
              <w:jc w:val="center"/>
              <w:textAlignment w:val="center"/>
              <w:rPr>
                <w:rFonts w:hint="default" w:ascii="Times New Roman" w:hAnsi="Times New Roman" w:eastAsia="宋体" w:cs="Times New Roman"/>
                <w:b w:val="0"/>
                <w:bCs w:val="0"/>
                <w:kern w:val="2"/>
                <w:sz w:val="24"/>
                <w:szCs w:val="24"/>
                <w:u w:val="none" w:color="auto"/>
                <w:lang w:val="en-US" w:eastAsia="zh-CN"/>
              </w:rPr>
            </w:pPr>
            <w:r>
              <w:rPr>
                <w:rFonts w:hint="default" w:ascii="Times New Roman" w:hAnsi="Times New Roman" w:eastAsia="宋体" w:cs="Times New Roman"/>
                <w:b w:val="0"/>
                <w:bCs w:val="0"/>
                <w:kern w:val="0"/>
                <w:sz w:val="24"/>
                <w:szCs w:val="24"/>
                <w:u w:val="none" w:color="auto"/>
                <w:lang w:bidi="ar"/>
              </w:rPr>
              <w:t>整体淋浴房</w:t>
            </w:r>
          </w:p>
        </w:tc>
        <w:tc>
          <w:tcPr>
            <w:tcW w:w="1419" w:type="pct"/>
            <w:noWrap w:val="0"/>
            <w:vAlign w:val="center"/>
          </w:tcPr>
          <w:p w14:paraId="208E0E7C">
            <w:pPr>
              <w:keepNext w:val="0"/>
              <w:keepLines w:val="0"/>
              <w:pageBreakBefore w:val="0"/>
              <w:widowControl/>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kern w:val="0"/>
                <w:sz w:val="24"/>
                <w:szCs w:val="24"/>
                <w:u w:val="none" w:color="auto"/>
                <w:lang w:val="en-US" w:eastAsia="zh-CN" w:bidi="ar"/>
              </w:rPr>
            </w:pPr>
            <w:r>
              <w:rPr>
                <w:rFonts w:hint="default" w:ascii="Times New Roman" w:hAnsi="Times New Roman" w:eastAsia="宋体" w:cs="Times New Roman"/>
                <w:b w:val="0"/>
                <w:bCs w:val="0"/>
                <w:kern w:val="0"/>
                <w:sz w:val="24"/>
                <w:szCs w:val="24"/>
                <w:u w:val="none" w:color="auto"/>
                <w:lang w:bidi="ar"/>
              </w:rPr>
              <w:t>1000元/</w:t>
            </w:r>
            <w:r>
              <w:rPr>
                <w:rFonts w:hint="eastAsia" w:ascii="Times New Roman" w:hAnsi="Times New Roman" w:eastAsia="宋体" w:cs="Times New Roman"/>
                <w:b w:val="0"/>
                <w:bCs w:val="0"/>
                <w:kern w:val="0"/>
                <w:sz w:val="24"/>
                <w:szCs w:val="24"/>
                <w:u w:val="none" w:color="auto"/>
                <w:lang w:val="en-US" w:eastAsia="zh-CN" w:bidi="ar"/>
              </w:rPr>
              <w:t>套</w:t>
            </w:r>
          </w:p>
        </w:tc>
      </w:tr>
    </w:tbl>
    <w:p w14:paraId="22D450B7">
      <w:pPr>
        <w:keepLines w:val="0"/>
        <w:pageBreakBefore w:val="0"/>
        <w:kinsoku/>
        <w:wordWrap/>
        <w:overflowPunct/>
        <w:topLinePunct w:val="0"/>
        <w:bidi w:val="0"/>
        <w:adjustRightInd/>
        <w:snapToGrid/>
        <w:spacing w:line="590" w:lineRule="exact"/>
        <w:rPr>
          <w:rFonts w:hint="default" w:ascii="Times New Roman" w:hAnsi="Times New Roman" w:cs="Times New Roman"/>
          <w:strike/>
          <w:dstrike w:val="0"/>
          <w:u w:val="none" w:color="auto"/>
        </w:rPr>
      </w:pPr>
    </w:p>
    <w:p w14:paraId="73C683AC">
      <w:pPr>
        <w:pStyle w:val="2"/>
        <w:keepNext w:val="0"/>
        <w:keepLines w:val="0"/>
        <w:pageBreakBefore w:val="0"/>
        <w:widowControl w:val="0"/>
        <w:kinsoku/>
        <w:wordWrap/>
        <w:overflowPunct/>
        <w:topLinePunct w:val="0"/>
        <w:autoSpaceDE/>
        <w:autoSpaceDN/>
        <w:bidi w:val="0"/>
        <w:adjustRightInd/>
        <w:snapToGrid/>
        <w:spacing w:after="0" w:line="590" w:lineRule="exact"/>
        <w:textAlignment w:val="auto"/>
        <w:rPr>
          <w:rFonts w:hint="default" w:ascii="Times New Roman" w:hAnsi="Times New Roman" w:cs="Times New Roman"/>
          <w:strike/>
          <w:dstrike w:val="0"/>
          <w:u w:val="none" w:color="auto"/>
        </w:rPr>
      </w:pPr>
    </w:p>
    <w:p w14:paraId="3F5C628F">
      <w:pPr>
        <w:keepLines w:val="0"/>
        <w:pageBreakBefore w:val="0"/>
        <w:kinsoku/>
        <w:wordWrap/>
        <w:overflowPunct/>
        <w:topLinePunct w:val="0"/>
        <w:bidi w:val="0"/>
        <w:adjustRightInd/>
        <w:snapToGrid/>
        <w:spacing w:line="590" w:lineRule="exact"/>
        <w:rPr>
          <w:rFonts w:hint="default"/>
        </w:rPr>
      </w:pPr>
    </w:p>
    <w:p w14:paraId="4BDCFC5F">
      <w:pPr>
        <w:keepLines w:val="0"/>
        <w:pageBreakBefore w:val="0"/>
        <w:kinsoku/>
        <w:wordWrap/>
        <w:overflowPunct/>
        <w:topLinePunct w:val="0"/>
        <w:bidi w:val="0"/>
        <w:adjustRightInd/>
        <w:snapToGrid/>
        <w:spacing w:line="590" w:lineRule="exact"/>
        <w:rPr>
          <w:rFonts w:hint="default" w:ascii="Times New Roman" w:hAnsi="Times New Roman" w:cs="Times New Roman"/>
          <w:u w:val="none" w:color="auto"/>
        </w:rPr>
      </w:pPr>
    </w:p>
    <w:p w14:paraId="70FC4861">
      <w:pPr>
        <w:pStyle w:val="7"/>
        <w:keepLines w:val="0"/>
        <w:pageBreakBefore w:val="0"/>
        <w:kinsoku/>
        <w:wordWrap/>
        <w:overflowPunct/>
        <w:topLinePunct w:val="0"/>
        <w:bidi w:val="0"/>
        <w:adjustRightInd/>
        <w:snapToGrid/>
        <w:spacing w:before="0" w:beforeAutospacing="0" w:after="0" w:afterAutospacing="0" w:line="590" w:lineRule="exact"/>
        <w:ind w:left="0" w:leftChars="0" w:right="-734" w:firstLine="218" w:firstLineChars="78"/>
        <w:jc w:val="both"/>
        <w:rPr>
          <w:rFonts w:hint="eastAsia" w:ascii="Times New Roman" w:hAnsi="Times New Roman" w:eastAsia="方正仿宋_GBK"/>
          <w:color w:val="000000"/>
          <w:spacing w:val="0"/>
          <w:sz w:val="28"/>
          <w:szCs w:val="28"/>
          <w:lang w:val="en-US" w:eastAsia="zh-CN"/>
        </w:rPr>
      </w:pPr>
    </w:p>
    <w:p w14:paraId="10E7928C">
      <w:pPr>
        <w:pStyle w:val="7"/>
        <w:keepLines w:val="0"/>
        <w:pageBreakBefore w:val="0"/>
        <w:kinsoku/>
        <w:wordWrap/>
        <w:overflowPunct/>
        <w:topLinePunct w:val="0"/>
        <w:bidi w:val="0"/>
        <w:adjustRightInd/>
        <w:snapToGrid/>
        <w:spacing w:before="0" w:beforeAutospacing="0" w:after="0" w:afterAutospacing="0" w:line="590" w:lineRule="exact"/>
        <w:ind w:left="0" w:leftChars="0" w:right="-734" w:firstLine="218" w:firstLineChars="78"/>
        <w:jc w:val="both"/>
        <w:rPr>
          <w:rFonts w:hint="eastAsia" w:ascii="Times New Roman" w:hAnsi="Times New Roman" w:eastAsia="方正仿宋_GBK"/>
          <w:color w:val="000000"/>
          <w:spacing w:val="0"/>
          <w:sz w:val="28"/>
          <w:szCs w:val="28"/>
          <w:lang w:val="en-US" w:eastAsia="zh-CN"/>
        </w:rPr>
      </w:pPr>
    </w:p>
    <w:p w14:paraId="14E5B970">
      <w:pPr>
        <w:pStyle w:val="7"/>
        <w:keepLines w:val="0"/>
        <w:pageBreakBefore w:val="0"/>
        <w:kinsoku/>
        <w:wordWrap/>
        <w:overflowPunct/>
        <w:topLinePunct w:val="0"/>
        <w:bidi w:val="0"/>
        <w:adjustRightInd/>
        <w:snapToGrid/>
        <w:spacing w:before="0" w:beforeAutospacing="0" w:after="0" w:afterAutospacing="0" w:line="590" w:lineRule="exact"/>
        <w:ind w:left="0" w:leftChars="0" w:right="-734" w:firstLine="218" w:firstLineChars="78"/>
        <w:jc w:val="both"/>
        <w:rPr>
          <w:rFonts w:hint="eastAsia" w:ascii="Times New Roman" w:hAnsi="Times New Roman" w:eastAsia="方正仿宋_GBK"/>
          <w:color w:val="000000"/>
          <w:spacing w:val="0"/>
          <w:sz w:val="28"/>
          <w:szCs w:val="28"/>
          <w:lang w:val="en-US" w:eastAsia="zh-CN"/>
        </w:rPr>
      </w:pPr>
    </w:p>
    <w:p w14:paraId="408E06FE">
      <w:pPr>
        <w:pStyle w:val="7"/>
        <w:keepLines w:val="0"/>
        <w:pageBreakBefore w:val="0"/>
        <w:kinsoku/>
        <w:wordWrap/>
        <w:overflowPunct/>
        <w:topLinePunct w:val="0"/>
        <w:bidi w:val="0"/>
        <w:adjustRightInd/>
        <w:snapToGrid/>
        <w:spacing w:before="0" w:beforeAutospacing="0" w:after="0" w:afterAutospacing="0" w:line="590" w:lineRule="exact"/>
        <w:ind w:left="0" w:leftChars="0" w:right="-734" w:firstLine="218" w:firstLineChars="78"/>
        <w:jc w:val="both"/>
        <w:rPr>
          <w:rFonts w:hint="default" w:ascii="Times New Roman" w:hAnsi="Times New Roman" w:cs="Times New Roman"/>
          <w:sz w:val="28"/>
          <w:szCs w:val="28"/>
        </w:rPr>
      </w:pPr>
      <w:r>
        <w:rPr>
          <w:rFonts w:hint="eastAsia" w:ascii="Times New Roman" w:hAnsi="Times New Roman" w:eastAsia="方正仿宋_GBK"/>
          <w:color w:val="000000"/>
          <w:spacing w:val="0"/>
          <w:sz w:val="28"/>
          <w:szCs w:val="28"/>
          <w:lang w:val="en-US" w:eastAsia="zh-CN"/>
        </w:rPr>
        <w:t>BZG-2025-01-01</w:t>
      </w:r>
    </w:p>
    <w:p w14:paraId="32C656B8">
      <w:pPr>
        <w:pStyle w:val="2"/>
        <w:rPr>
          <w:rFonts w:hint="default"/>
        </w:rPr>
      </w:pPr>
      <w:bookmarkStart w:id="2" w:name="_GoBack"/>
      <w:bookmarkEnd w:id="2"/>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38DC3">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655E723">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3655E723">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6C46486E">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14:paraId="05837200">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EC520">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3E0ECDEF">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378D688D"/>
    <w:rsid w:val="3868100C"/>
    <w:rsid w:val="47F343E9"/>
    <w:rsid w:val="4D0F6EC5"/>
    <w:rsid w:val="5F6B72EB"/>
    <w:rsid w:val="5FF626F2"/>
    <w:rsid w:val="72775C72"/>
    <w:rsid w:val="7EE11D5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2"/>
    <w:basedOn w:val="1"/>
    <w:next w:val="1"/>
    <w:unhideWhenUsed/>
    <w:qFormat/>
    <w:uiPriority w:val="99"/>
    <w:pPr>
      <w:spacing w:after="120" w:line="480" w:lineRule="auto"/>
      <w:ind w:left="420" w:leftChars="200"/>
    </w:p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仿宋正文"/>
    <w:basedOn w:val="1"/>
    <w:qFormat/>
    <w:uiPriority w:val="0"/>
    <w:pPr>
      <w:spacing w:line="600" w:lineRule="exact"/>
      <w:ind w:firstLine="420" w:firstLineChars="200"/>
    </w:pPr>
    <w:rPr>
      <w:rFonts w:eastAsia="方正仿宋简体"/>
      <w:szCs w:val="32"/>
    </w:rPr>
  </w:style>
  <w:style w:type="paragraph" w:styleId="12">
    <w:name w:val="List Paragraph"/>
    <w:basedOn w:val="1"/>
    <w:qFormat/>
    <w:uiPriority w:val="99"/>
    <w:pPr>
      <w:ind w:firstLine="420" w:firstLineChars="200"/>
    </w:pPr>
  </w:style>
  <w:style w:type="paragraph" w:customStyle="1" w:styleId="13">
    <w:name w:val="Table Text"/>
    <w:basedOn w:val="1"/>
    <w:semiHidden/>
    <w:qFormat/>
    <w:uiPriority w:val="0"/>
    <w:rPr>
      <w:rFonts w:ascii="宋体" w:hAnsi="宋体" w:eastAsia="宋体" w:cs="宋体"/>
      <w:sz w:val="23"/>
      <w:szCs w:val="23"/>
      <w:lang w:eastAsia="en-US"/>
    </w:rPr>
  </w:style>
  <w:style w:type="table" w:customStyle="1" w:styleId="14">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21</Pages>
  <Words>5927</Words>
  <Characters>5969</Characters>
  <Lines>0</Lines>
  <Paragraphs>0</Paragraphs>
  <TotalTime>0</TotalTime>
  <ScaleCrop>false</ScaleCrop>
  <LinksUpToDate>false</LinksUpToDate>
  <CharactersWithSpaces>6184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2025-07-01T03:16:50Z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44C402D1BD274312B931B08488C6A760</vt:lpwstr>
  </property>
  <property fmtid="{D5CDD505-2E9C-101B-9397-08002B2CF9AE}" pid="4" name="KSOTemplateDocerSaveRecord">
    <vt:lpwstr>eyJoZGlkIjoiMDcyNjc3YWM5NGYyODYxNDE1ODhkZTI5ZTViNmNkZDAiLCJ1c2VySWQiOiIxMTAzOTE2Mzk0In0=</vt:lpwstr>
  </property>
</Properties>
</file>