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543CCF">
      <w:pPr>
        <w:keepNext/>
        <w:keepLines w:val="0"/>
        <w:pageBreakBefore w:val="0"/>
        <w:widowControl w:val="0"/>
        <w:kinsoku/>
        <w:wordWrap/>
        <w:overflowPunct/>
        <w:topLinePunct w:val="0"/>
        <w:autoSpaceDE w:val="0"/>
        <w:autoSpaceDN w:val="0"/>
        <w:bidi w:val="0"/>
        <w:adjustRightInd/>
        <w:snapToGrid/>
        <w:spacing w:before="0" w:beforeLines="0" w:after="0" w:afterLines="0" w:line="600" w:lineRule="exact"/>
        <w:ind w:right="0" w:rightChars="0"/>
        <w:jc w:val="both"/>
        <w:textAlignment w:val="auto"/>
        <w:outlineLvl w:val="9"/>
        <w:rPr>
          <w:rFonts w:hint="default" w:ascii="Times New Roman" w:hAnsi="Times New Roman" w:eastAsia="方正仿宋_GBK" w:cs="Times New Roman"/>
          <w:color w:val="000000"/>
          <w:sz w:val="32"/>
          <w:szCs w:val="32"/>
          <w:lang w:eastAsia="zh-CN"/>
        </w:rPr>
      </w:pPr>
    </w:p>
    <w:p w14:paraId="0C75C0BD">
      <w:pPr>
        <w:keepNext w:val="0"/>
        <w:keepLines w:val="0"/>
        <w:pageBreakBefore w:val="0"/>
        <w:widowControl w:val="0"/>
        <w:kinsoku/>
        <w:wordWrap/>
        <w:overflowPunct/>
        <w:topLinePunct w:val="0"/>
        <w:autoSpaceDE/>
        <w:autoSpaceDN/>
        <w:bidi w:val="0"/>
        <w:adjustRightInd/>
        <w:snapToGrid/>
        <w:spacing w:line="700" w:lineRule="exact"/>
        <w:ind w:left="0" w:leftChars="0" w:right="0" w:rightChars="0" w:firstLine="0" w:firstLineChars="0"/>
        <w:jc w:val="center"/>
        <w:textAlignment w:val="auto"/>
        <w:outlineLvl w:val="9"/>
        <w:rPr>
          <w:rFonts w:hint="default" w:ascii="Times New Roman" w:hAnsi="Times New Roman" w:eastAsia="方正小标宋简体" w:cs="Times New Roman"/>
          <w:sz w:val="44"/>
          <w:szCs w:val="44"/>
          <w:lang w:val="en-US" w:eastAsia="zh-CN"/>
        </w:rPr>
      </w:pPr>
    </w:p>
    <w:p w14:paraId="47D17DAD">
      <w:pPr>
        <w:pStyle w:val="4"/>
        <w:spacing w:line="700" w:lineRule="exact"/>
        <w:ind w:firstLine="0" w:firstLineChars="0"/>
        <w:jc w:val="center"/>
        <w:rPr>
          <w:rFonts w:hint="eastAsia" w:ascii="方正小标宋_GBK" w:hAnsi="方正小标宋_GBK" w:eastAsia="方正小标宋_GBK" w:cs="方正小标宋_GBK"/>
          <w:sz w:val="44"/>
          <w:szCs w:val="44"/>
          <w:lang w:eastAsia="zh-CN"/>
        </w:rPr>
      </w:pPr>
      <w:r>
        <w:rPr>
          <w:rFonts w:hint="eastAsia" w:ascii="方正小标宋_GBK" w:hAnsi="方正小标宋_GBK" w:eastAsia="方正小标宋_GBK" w:cs="方正小标宋_GBK"/>
          <w:sz w:val="44"/>
          <w:szCs w:val="44"/>
          <w:lang w:eastAsia="zh-CN"/>
        </w:rPr>
        <w:t>亳州市人民政府关于印发</w:t>
      </w:r>
    </w:p>
    <w:p w14:paraId="3AA07D5A">
      <w:pPr>
        <w:pStyle w:val="4"/>
        <w:spacing w:line="700" w:lineRule="exact"/>
        <w:ind w:firstLine="0" w:firstLineChars="0"/>
        <w:jc w:val="center"/>
        <w:rPr>
          <w:rFonts w:hint="eastAsia" w:ascii="方正小标宋_GBK" w:hAnsi="方正小标宋_GBK" w:eastAsia="方正小标宋_GBK" w:cs="方正小标宋_GBK"/>
          <w:sz w:val="44"/>
          <w:szCs w:val="44"/>
          <w:lang w:eastAsia="zh-CN"/>
        </w:rPr>
      </w:pPr>
      <w:r>
        <w:rPr>
          <w:rFonts w:hint="eastAsia" w:ascii="方正小标宋_GBK" w:hAnsi="方正小标宋_GBK" w:eastAsia="方正小标宋_GBK" w:cs="方正小标宋_GBK"/>
          <w:sz w:val="44"/>
          <w:szCs w:val="44"/>
          <w:lang w:eastAsia="zh-CN"/>
        </w:rPr>
        <w:t>《</w:t>
      </w:r>
      <w:r>
        <w:rPr>
          <w:rFonts w:hint="eastAsia" w:ascii="方正小标宋_GBK" w:hAnsi="方正小标宋_GBK" w:eastAsia="方正小标宋_GBK" w:cs="方正小标宋_GBK"/>
          <w:sz w:val="44"/>
          <w:szCs w:val="44"/>
        </w:rPr>
        <w:t>亳州市工程建设项目招标投标“评定分离”管理办法（试行）</w:t>
      </w:r>
      <w:r>
        <w:rPr>
          <w:rFonts w:hint="eastAsia" w:ascii="方正小标宋_GBK" w:hAnsi="方正小标宋_GBK" w:eastAsia="方正小标宋_GBK" w:cs="方正小标宋_GBK"/>
          <w:sz w:val="44"/>
          <w:szCs w:val="44"/>
          <w:lang w:eastAsia="zh-CN"/>
        </w:rPr>
        <w:t>》的通知</w:t>
      </w:r>
    </w:p>
    <w:p w14:paraId="1F78EA5D">
      <w:pPr>
        <w:pStyle w:val="2"/>
        <w:ind w:left="0" w:leftChars="0" w:firstLine="0" w:firstLineChars="0"/>
        <w:jc w:val="center"/>
        <w:rPr>
          <w:rFonts w:hint="default" w:ascii="Times New Roman" w:hAnsi="Times New Roman" w:eastAsia="方正仿宋_GBK" w:cs="Times New Roman"/>
          <w:color w:val="000000"/>
          <w:sz w:val="32"/>
          <w:szCs w:val="32"/>
          <w:lang w:eastAsia="zh-CN"/>
        </w:rPr>
      </w:pPr>
      <w:r>
        <w:rPr>
          <w:rFonts w:hint="default" w:ascii="Times New Roman" w:hAnsi="Times New Roman" w:eastAsia="方正仿宋_GBK" w:cs="Times New Roman"/>
          <w:color w:val="000000"/>
          <w:sz w:val="32"/>
          <w:lang w:eastAsia="zh-CN"/>
        </w:rPr>
        <w:t>亳政秘</w:t>
      </w:r>
      <w:r>
        <w:rPr>
          <w:rFonts w:hint="default" w:ascii="Times New Roman" w:hAnsi="Times New Roman" w:eastAsia="方正仿宋_GBK" w:cs="Times New Roman"/>
          <w:color w:val="000000"/>
          <w:sz w:val="32"/>
          <w:szCs w:val="32"/>
        </w:rPr>
        <w:t>〔20</w:t>
      </w:r>
      <w:r>
        <w:rPr>
          <w:rFonts w:hint="eastAsia" w:ascii="Times New Roman" w:hAnsi="Times New Roman" w:eastAsia="方正仿宋_GBK" w:cs="Times New Roman"/>
          <w:color w:val="000000"/>
          <w:sz w:val="32"/>
          <w:szCs w:val="32"/>
          <w:lang w:val="en-US" w:eastAsia="zh-CN"/>
        </w:rPr>
        <w:t>25</w:t>
      </w:r>
      <w:r>
        <w:rPr>
          <w:rFonts w:hint="default" w:ascii="Times New Roman" w:hAnsi="Times New Roman" w:eastAsia="方正仿宋_GBK" w:cs="Times New Roman"/>
          <w:color w:val="000000"/>
          <w:sz w:val="32"/>
          <w:szCs w:val="32"/>
        </w:rPr>
        <w:t>〕</w:t>
      </w:r>
      <w:r>
        <w:rPr>
          <w:rFonts w:hint="eastAsia" w:ascii="Times New Roman" w:hAnsi="Times New Roman" w:eastAsia="方正仿宋_GBK" w:cs="Times New Roman"/>
          <w:color w:val="000000"/>
          <w:sz w:val="32"/>
          <w:szCs w:val="32"/>
          <w:lang w:val="en-US" w:eastAsia="zh-CN"/>
        </w:rPr>
        <w:t>90</w:t>
      </w:r>
      <w:r>
        <w:rPr>
          <w:rFonts w:hint="default" w:ascii="Times New Roman" w:hAnsi="Times New Roman" w:eastAsia="方正仿宋_GBK" w:cs="Times New Roman"/>
          <w:color w:val="000000"/>
          <w:sz w:val="32"/>
          <w:szCs w:val="32"/>
          <w:lang w:eastAsia="zh-CN"/>
        </w:rPr>
        <w:t>号</w:t>
      </w:r>
    </w:p>
    <w:p w14:paraId="693F3128">
      <w:pPr>
        <w:rPr>
          <w:rFonts w:hint="default"/>
          <w:lang w:eastAsia="zh-CN"/>
        </w:rPr>
      </w:pPr>
    </w:p>
    <w:p w14:paraId="5F03BF58">
      <w:pPr>
        <w:keepNext w:val="0"/>
        <w:keepLines w:val="0"/>
        <w:pageBreakBefore w:val="0"/>
        <w:widowControl w:val="0"/>
        <w:kinsoku/>
        <w:wordWrap/>
        <w:overflowPunct/>
        <w:topLinePunct w:val="0"/>
        <w:autoSpaceDE/>
        <w:autoSpaceDN/>
        <w:bidi w:val="0"/>
        <w:adjustRightInd/>
        <w:snapToGrid/>
        <w:spacing w:line="600" w:lineRule="exact"/>
        <w:ind w:right="0" w:rightChars="0"/>
        <w:jc w:val="both"/>
        <w:textAlignment w:val="auto"/>
        <w:outlineLvl w:val="9"/>
        <w:rPr>
          <w:rFonts w:hint="eastAsia" w:ascii="方正仿宋_GBK" w:hAnsi="方正仿宋_GBK" w:eastAsia="方正仿宋_GBK" w:cs="方正仿宋_GBK"/>
          <w:color w:val="auto"/>
          <w:kern w:val="21"/>
          <w:sz w:val="32"/>
          <w:szCs w:val="32"/>
          <w:u w:val="none"/>
          <w:lang w:val="en-US" w:eastAsia="zh-CN" w:bidi="ar-SA"/>
        </w:rPr>
      </w:pPr>
      <w:r>
        <w:rPr>
          <w:rFonts w:hint="eastAsia" w:ascii="方正仿宋_GBK" w:hAnsi="方正仿宋_GBK" w:eastAsia="方正仿宋_GBK" w:cs="方正仿宋_GBK"/>
          <w:color w:val="auto"/>
          <w:kern w:val="21"/>
          <w:sz w:val="32"/>
          <w:szCs w:val="32"/>
          <w:u w:val="none"/>
          <w:lang w:val="en-US" w:eastAsia="zh-CN" w:bidi="ar-SA"/>
        </w:rPr>
        <w:t>各县、区人民政府，亳州高新区管委会、亳芜现代产业园区管委会，市政府各部门、各直属机构：</w:t>
      </w:r>
    </w:p>
    <w:p w14:paraId="4B067111">
      <w:pPr>
        <w:keepNext w:val="0"/>
        <w:keepLines w:val="0"/>
        <w:pageBreakBefore w:val="0"/>
        <w:widowControl w:val="0"/>
        <w:kinsoku/>
        <w:wordWrap/>
        <w:overflowPunct/>
        <w:topLinePunct w:val="0"/>
        <w:autoSpaceDE/>
        <w:autoSpaceDN/>
        <w:bidi w:val="0"/>
        <w:adjustRightInd/>
        <w:snapToGrid/>
        <w:spacing w:line="600" w:lineRule="exact"/>
        <w:ind w:right="0" w:rightChars="0" w:firstLine="640" w:firstLineChars="200"/>
        <w:jc w:val="both"/>
        <w:textAlignment w:val="auto"/>
        <w:outlineLvl w:val="9"/>
        <w:rPr>
          <w:rFonts w:hint="eastAsia" w:ascii="方正仿宋_GBK" w:hAnsi="方正仿宋_GBK" w:eastAsia="方正仿宋_GBK" w:cs="方正仿宋_GBK"/>
          <w:color w:val="auto"/>
          <w:kern w:val="21"/>
          <w:sz w:val="32"/>
          <w:szCs w:val="32"/>
          <w:u w:val="none"/>
          <w:lang w:val="en-US" w:eastAsia="zh-CN" w:bidi="ar-SA"/>
        </w:rPr>
      </w:pPr>
      <w:r>
        <w:rPr>
          <w:rFonts w:hint="eastAsia" w:ascii="方正仿宋_GBK" w:hAnsi="方正仿宋_GBK" w:eastAsia="方正仿宋_GBK" w:cs="方正仿宋_GBK"/>
          <w:color w:val="auto"/>
          <w:kern w:val="21"/>
          <w:sz w:val="32"/>
          <w:szCs w:val="32"/>
          <w:u w:val="none"/>
          <w:lang w:val="en-US" w:eastAsia="zh-CN" w:bidi="ar-SA"/>
        </w:rPr>
        <w:t>《亳州市工程建设项目招标投标“评定分离”管理办法（试行）》已经市政府同意，现印发给你们，请抓好贯彻落实。</w:t>
      </w:r>
    </w:p>
    <w:p w14:paraId="3527558C">
      <w:pPr>
        <w:pStyle w:val="2"/>
        <w:rPr>
          <w:rFonts w:hint="eastAsia" w:ascii="方正仿宋_GBK" w:hAnsi="方正仿宋_GBK" w:eastAsia="方正仿宋_GBK" w:cs="方正仿宋_GBK"/>
          <w:color w:val="auto"/>
          <w:kern w:val="21"/>
          <w:sz w:val="32"/>
          <w:szCs w:val="32"/>
          <w:u w:val="none"/>
          <w:lang w:val="en-US" w:eastAsia="zh-CN" w:bidi="ar-SA"/>
        </w:rPr>
      </w:pPr>
    </w:p>
    <w:p w14:paraId="229674C0">
      <w:pPr>
        <w:rPr>
          <w:rFonts w:hint="eastAsia" w:ascii="方正仿宋_GBK" w:hAnsi="方正仿宋_GBK" w:eastAsia="方正仿宋_GBK" w:cs="方正仿宋_GBK"/>
          <w:color w:val="auto"/>
          <w:kern w:val="21"/>
          <w:sz w:val="32"/>
          <w:szCs w:val="32"/>
          <w:u w:val="none"/>
          <w:lang w:val="en-US" w:eastAsia="zh-CN" w:bidi="ar-SA"/>
        </w:rPr>
      </w:pPr>
    </w:p>
    <w:p w14:paraId="7B786D6E">
      <w:pPr>
        <w:pStyle w:val="2"/>
        <w:rPr>
          <w:rFonts w:hint="eastAsia"/>
          <w:lang w:val="en-US" w:eastAsia="zh-CN"/>
        </w:rPr>
      </w:pPr>
    </w:p>
    <w:p w14:paraId="50664FC9">
      <w:pPr>
        <w:pStyle w:val="2"/>
        <w:keepNext w:val="0"/>
        <w:keepLines w:val="0"/>
        <w:pageBreakBefore w:val="0"/>
        <w:widowControl w:val="0"/>
        <w:kinsoku/>
        <w:wordWrap/>
        <w:overflowPunct/>
        <w:topLinePunct w:val="0"/>
        <w:autoSpaceDE/>
        <w:autoSpaceDN/>
        <w:bidi w:val="0"/>
        <w:adjustRightInd/>
        <w:snapToGrid/>
        <w:ind w:left="0" w:leftChars="0" w:right="630" w:rightChars="300" w:firstLine="0" w:firstLineChars="0"/>
        <w:jc w:val="right"/>
        <w:textAlignment w:val="auto"/>
        <w:rPr>
          <w:rFonts w:hint="eastAsia" w:ascii="方正仿宋_GBK" w:hAnsi="方正仿宋_GBK" w:eastAsia="方正仿宋_GBK" w:cs="方正仿宋_GBK"/>
          <w:color w:val="auto"/>
          <w:kern w:val="21"/>
          <w:sz w:val="32"/>
          <w:szCs w:val="32"/>
          <w:u w:val="none"/>
          <w:lang w:val="en-US" w:eastAsia="zh-CN" w:bidi="ar-SA"/>
        </w:rPr>
      </w:pPr>
      <w:r>
        <w:rPr>
          <w:rFonts w:hint="eastAsia" w:ascii="方正仿宋_GBK" w:hAnsi="方正仿宋_GBK" w:eastAsia="方正仿宋_GBK" w:cs="方正仿宋_GBK"/>
          <w:color w:val="auto"/>
          <w:kern w:val="21"/>
          <w:sz w:val="32"/>
          <w:szCs w:val="32"/>
          <w:u w:val="none"/>
          <w:lang w:val="en-US" w:eastAsia="zh-CN" w:bidi="ar-SA"/>
        </w:rPr>
        <w:t>亳州市人民政府</w:t>
      </w:r>
    </w:p>
    <w:p w14:paraId="5D271B20">
      <w:pPr>
        <w:pStyle w:val="2"/>
        <w:keepNext w:val="0"/>
        <w:keepLines w:val="0"/>
        <w:pageBreakBefore w:val="0"/>
        <w:widowControl w:val="0"/>
        <w:kinsoku/>
        <w:wordWrap/>
        <w:overflowPunct/>
        <w:topLinePunct w:val="0"/>
        <w:autoSpaceDE/>
        <w:autoSpaceDN/>
        <w:bidi w:val="0"/>
        <w:adjustRightInd/>
        <w:snapToGrid/>
        <w:spacing w:line="590" w:lineRule="atLeast"/>
        <w:ind w:left="0" w:leftChars="0" w:right="420" w:rightChars="200" w:firstLine="0" w:firstLineChars="0"/>
        <w:jc w:val="right"/>
        <w:textAlignment w:val="auto"/>
        <w:rPr>
          <w:rFonts w:hint="default" w:ascii="Times New Roman" w:hAnsi="Times New Roman" w:eastAsia="方正仿宋_GBK" w:cs="Times New Roman"/>
          <w:color w:val="auto"/>
          <w:kern w:val="21"/>
          <w:sz w:val="32"/>
          <w:szCs w:val="32"/>
          <w:u w:val="none"/>
          <w:lang w:val="en-US" w:eastAsia="zh-CN"/>
        </w:rPr>
      </w:pPr>
      <w:r>
        <w:rPr>
          <w:rFonts w:hint="default" w:ascii="Times New Roman" w:hAnsi="Times New Roman" w:eastAsia="方正仿宋_GBK" w:cs="Times New Roman"/>
          <w:color w:val="auto"/>
          <w:kern w:val="21"/>
          <w:sz w:val="32"/>
          <w:szCs w:val="32"/>
          <w:u w:val="none"/>
          <w:lang w:val="en-US" w:eastAsia="zh-CN" w:bidi="ar-SA"/>
        </w:rPr>
        <w:t>2025年12月25日</w:t>
      </w:r>
    </w:p>
    <w:p w14:paraId="2FD9AFDC">
      <w:pPr>
        <w:keepNext w:val="0"/>
        <w:keepLines w:val="0"/>
        <w:pageBreakBefore w:val="0"/>
        <w:widowControl w:val="0"/>
        <w:kinsoku/>
        <w:wordWrap/>
        <w:overflowPunct/>
        <w:topLinePunct w:val="0"/>
        <w:autoSpaceDE/>
        <w:autoSpaceDN/>
        <w:bidi w:val="0"/>
        <w:adjustRightInd/>
        <w:snapToGrid/>
        <w:spacing w:line="590" w:lineRule="atLeast"/>
        <w:ind w:firstLine="640" w:firstLineChars="200"/>
        <w:rPr>
          <w:rFonts w:hint="eastAsia" w:ascii="Times New Roman" w:hAnsi="Times New Roman" w:eastAsia="方正仿宋_GBK" w:cs="Times New Roman"/>
          <w:sz w:val="32"/>
          <w:szCs w:val="32"/>
          <w:lang w:eastAsia="zh-CN"/>
        </w:rPr>
      </w:pPr>
      <w:r>
        <w:rPr>
          <w:rFonts w:hint="eastAsia" w:ascii="Times New Roman" w:hAnsi="Times New Roman" w:eastAsia="方正仿宋_GBK" w:cs="Times New Roman"/>
          <w:sz w:val="32"/>
          <w:szCs w:val="32"/>
          <w:lang w:eastAsia="zh-CN"/>
        </w:rPr>
        <w:t>（此件公开发布）</w:t>
      </w:r>
    </w:p>
    <w:p w14:paraId="4A584B48">
      <w:pPr>
        <w:pStyle w:val="2"/>
        <w:keepNext w:val="0"/>
        <w:keepLines w:val="0"/>
        <w:pageBreakBefore w:val="0"/>
        <w:widowControl w:val="0"/>
        <w:kinsoku/>
        <w:wordWrap/>
        <w:overflowPunct/>
        <w:topLinePunct w:val="0"/>
        <w:autoSpaceDE/>
        <w:autoSpaceDN/>
        <w:bidi w:val="0"/>
        <w:adjustRightInd/>
        <w:snapToGrid/>
        <w:spacing w:line="590" w:lineRule="atLeast"/>
        <w:rPr>
          <w:rFonts w:hint="eastAsia" w:ascii="Times New Roman" w:hAnsi="Times New Roman" w:eastAsia="方正仿宋_GBK" w:cs="Times New Roman"/>
          <w:sz w:val="32"/>
          <w:szCs w:val="32"/>
          <w:lang w:eastAsia="zh-CN"/>
        </w:rPr>
      </w:pPr>
    </w:p>
    <w:p w14:paraId="2482DCAC">
      <w:pPr>
        <w:keepNext w:val="0"/>
        <w:keepLines w:val="0"/>
        <w:pageBreakBefore w:val="0"/>
        <w:widowControl w:val="0"/>
        <w:kinsoku/>
        <w:wordWrap/>
        <w:overflowPunct/>
        <w:topLinePunct w:val="0"/>
        <w:autoSpaceDE/>
        <w:autoSpaceDN/>
        <w:bidi w:val="0"/>
        <w:adjustRightInd/>
        <w:snapToGrid/>
        <w:spacing w:line="590" w:lineRule="atLeast"/>
        <w:rPr>
          <w:rFonts w:hint="eastAsia" w:ascii="Times New Roman" w:hAnsi="Times New Roman" w:eastAsia="方正仿宋_GBK" w:cs="Times New Roman"/>
          <w:sz w:val="32"/>
          <w:szCs w:val="32"/>
          <w:lang w:eastAsia="zh-CN"/>
        </w:rPr>
      </w:pPr>
    </w:p>
    <w:p w14:paraId="5DC1ED8C">
      <w:pPr>
        <w:pStyle w:val="2"/>
        <w:keepNext w:val="0"/>
        <w:keepLines w:val="0"/>
        <w:pageBreakBefore w:val="0"/>
        <w:widowControl w:val="0"/>
        <w:kinsoku/>
        <w:wordWrap/>
        <w:overflowPunct/>
        <w:topLinePunct w:val="0"/>
        <w:autoSpaceDE/>
        <w:autoSpaceDN/>
        <w:bidi w:val="0"/>
        <w:adjustRightInd/>
        <w:snapToGrid/>
        <w:spacing w:line="590" w:lineRule="atLeast"/>
        <w:rPr>
          <w:rFonts w:hint="eastAsia" w:ascii="Times New Roman" w:hAnsi="Times New Roman" w:eastAsia="方正仿宋_GBK" w:cs="Times New Roman"/>
          <w:sz w:val="32"/>
          <w:szCs w:val="32"/>
          <w:lang w:eastAsia="zh-CN"/>
        </w:rPr>
      </w:pPr>
    </w:p>
    <w:p w14:paraId="74CB5004">
      <w:pPr>
        <w:pStyle w:val="2"/>
        <w:keepNext w:val="0"/>
        <w:keepLines w:val="0"/>
        <w:pageBreakBefore w:val="0"/>
        <w:widowControl w:val="0"/>
        <w:kinsoku/>
        <w:wordWrap/>
        <w:overflowPunct/>
        <w:topLinePunct w:val="0"/>
        <w:autoSpaceDE/>
        <w:autoSpaceDN/>
        <w:bidi w:val="0"/>
        <w:adjustRightInd/>
        <w:snapToGrid/>
        <w:spacing w:line="590" w:lineRule="atLeast"/>
        <w:ind w:left="0" w:leftChars="0" w:firstLine="0" w:firstLineChars="0"/>
        <w:rPr>
          <w:rFonts w:hint="eastAsia" w:ascii="Times New Roman" w:hAnsi="Times New Roman" w:eastAsia="方正仿宋_GBK" w:cs="Times New Roman"/>
          <w:sz w:val="32"/>
          <w:szCs w:val="32"/>
          <w:lang w:eastAsia="zh-CN"/>
        </w:rPr>
      </w:pPr>
    </w:p>
    <w:p w14:paraId="523E268B">
      <w:pPr>
        <w:pStyle w:val="4"/>
        <w:spacing w:line="700" w:lineRule="exact"/>
        <w:ind w:firstLine="0" w:firstLineChars="0"/>
        <w:jc w:val="center"/>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亳州市工程建设项目招标投标“评定分离”</w:t>
      </w:r>
    </w:p>
    <w:p w14:paraId="48AB8F24">
      <w:pPr>
        <w:spacing w:line="700" w:lineRule="exact"/>
        <w:jc w:val="center"/>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管理办法（试行）</w:t>
      </w:r>
    </w:p>
    <w:p w14:paraId="5C3FD6C6">
      <w:pPr>
        <w:pStyle w:val="2"/>
      </w:pPr>
    </w:p>
    <w:p w14:paraId="02B7FBDE">
      <w:pPr>
        <w:pStyle w:val="8"/>
        <w:keepNext w:val="0"/>
        <w:keepLines w:val="0"/>
        <w:pageBreakBefore w:val="0"/>
        <w:widowControl w:val="0"/>
        <w:kinsoku/>
        <w:wordWrap/>
        <w:overflowPunct/>
        <w:topLinePunct w:val="0"/>
        <w:autoSpaceDE/>
        <w:autoSpaceDN/>
        <w:bidi w:val="0"/>
        <w:adjustRightInd w:val="0"/>
        <w:snapToGrid w:val="0"/>
        <w:spacing w:after="0" w:line="580" w:lineRule="exact"/>
        <w:jc w:val="center"/>
        <w:textAlignment w:val="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第一章  总  则</w:t>
      </w:r>
    </w:p>
    <w:p w14:paraId="7F110495">
      <w:pPr>
        <w:keepNext w:val="0"/>
        <w:keepLines w:val="0"/>
        <w:pageBreakBefore w:val="0"/>
        <w:widowControl w:val="0"/>
        <w:kinsoku/>
        <w:wordWrap/>
        <w:overflowPunct/>
        <w:topLinePunct w:val="0"/>
        <w:autoSpaceDE/>
        <w:autoSpaceDN/>
        <w:bidi w:val="0"/>
        <w:spacing w:line="580" w:lineRule="exact"/>
        <w:ind w:firstLine="640" w:firstLineChars="200"/>
        <w:textAlignment w:val="auto"/>
        <w:rPr>
          <w:rFonts w:ascii="方正仿宋_GBK" w:eastAsia="方正仿宋_GBK"/>
          <w:sz w:val="32"/>
          <w:szCs w:val="32"/>
        </w:rPr>
      </w:pPr>
      <w:r>
        <w:rPr>
          <w:rFonts w:hint="eastAsia" w:ascii="方正黑体_GBK" w:hAnsi="方正黑体_GBK" w:eastAsia="方正黑体_GBK" w:cs="方正黑体_GBK"/>
          <w:sz w:val="32"/>
          <w:szCs w:val="32"/>
        </w:rPr>
        <w:t>第一条</w:t>
      </w:r>
      <w:r>
        <w:rPr>
          <w:rFonts w:hint="eastAsia" w:ascii="黑体" w:hAnsi="黑体" w:eastAsia="黑体"/>
          <w:sz w:val="32"/>
          <w:szCs w:val="32"/>
        </w:rPr>
        <w:t xml:space="preserve">  </w:t>
      </w:r>
      <w:r>
        <w:rPr>
          <w:rFonts w:hint="eastAsia" w:ascii="方正仿宋_GBK" w:eastAsia="方正仿宋_GBK"/>
          <w:sz w:val="32"/>
          <w:szCs w:val="32"/>
        </w:rPr>
        <w:t>为深化我市招标投标领域体制机制改革，强化招标人主体地位，完善评标定标机制，</w:t>
      </w:r>
      <w:r>
        <w:rPr>
          <w:rFonts w:eastAsia="方正仿宋_GBK"/>
          <w:sz w:val="32"/>
          <w:szCs w:val="32"/>
        </w:rPr>
        <w:t>根据</w:t>
      </w:r>
      <w:r>
        <w:rPr>
          <w:rFonts w:hint="eastAsia" w:eastAsia="方正仿宋_GBK"/>
          <w:sz w:val="32"/>
          <w:szCs w:val="32"/>
        </w:rPr>
        <w:t>《中华人民共和国招标投标法》</w:t>
      </w:r>
      <w:r>
        <w:rPr>
          <w:rFonts w:eastAsia="方正仿宋_GBK"/>
          <w:sz w:val="32"/>
          <w:szCs w:val="32"/>
        </w:rPr>
        <w:t>《国务院办公厅关于创新完善体制机制推动招标投标市场规范健康发展的意见》（国办发〔</w:t>
      </w:r>
      <w:r>
        <w:rPr>
          <w:rFonts w:ascii="Times New Roman" w:hAnsi="Times New Roman" w:eastAsia="方正仿宋_GBK"/>
          <w:sz w:val="32"/>
          <w:szCs w:val="32"/>
        </w:rPr>
        <w:t>2024</w:t>
      </w:r>
      <w:r>
        <w:rPr>
          <w:rFonts w:eastAsia="方正仿宋_GBK"/>
          <w:sz w:val="32"/>
          <w:szCs w:val="32"/>
        </w:rPr>
        <w:t>〕</w:t>
      </w:r>
      <w:r>
        <w:rPr>
          <w:rFonts w:ascii="Times New Roman" w:hAnsi="Times New Roman" w:eastAsia="方正仿宋_GBK"/>
          <w:sz w:val="32"/>
          <w:szCs w:val="32"/>
        </w:rPr>
        <w:t>21</w:t>
      </w:r>
      <w:r>
        <w:rPr>
          <w:rFonts w:eastAsia="方正仿宋_GBK"/>
          <w:sz w:val="32"/>
          <w:szCs w:val="32"/>
        </w:rPr>
        <w:t>号）等法律法规和政策文件，</w:t>
      </w:r>
      <w:r>
        <w:rPr>
          <w:rFonts w:hint="eastAsia" w:ascii="方正仿宋_GBK" w:eastAsia="方正仿宋_GBK"/>
          <w:sz w:val="32"/>
          <w:szCs w:val="32"/>
        </w:rPr>
        <w:t>结合我市实际，制定本办法。</w:t>
      </w:r>
    </w:p>
    <w:p w14:paraId="7450256F">
      <w:pPr>
        <w:keepNext w:val="0"/>
        <w:keepLines w:val="0"/>
        <w:pageBreakBefore w:val="0"/>
        <w:widowControl w:val="0"/>
        <w:kinsoku/>
        <w:wordWrap/>
        <w:overflowPunct/>
        <w:topLinePunct w:val="0"/>
        <w:autoSpaceDE/>
        <w:autoSpaceDN/>
        <w:bidi w:val="0"/>
        <w:spacing w:line="580" w:lineRule="exact"/>
        <w:ind w:firstLine="640" w:firstLineChars="200"/>
        <w:textAlignment w:val="auto"/>
        <w:rPr>
          <w:rFonts w:ascii="方正仿宋_GBK" w:eastAsia="方正仿宋_GBK"/>
          <w:color w:val="FF0000"/>
          <w:sz w:val="32"/>
          <w:szCs w:val="32"/>
          <w:u w:val="single"/>
        </w:rPr>
      </w:pPr>
      <w:r>
        <w:rPr>
          <w:rFonts w:hint="eastAsia" w:ascii="方正黑体_GBK" w:hAnsi="方正黑体_GBK" w:eastAsia="方正黑体_GBK" w:cs="方正黑体_GBK"/>
          <w:sz w:val="32"/>
          <w:szCs w:val="32"/>
        </w:rPr>
        <w:t>第二条</w:t>
      </w:r>
      <w:r>
        <w:rPr>
          <w:rFonts w:hint="eastAsia" w:ascii="黑体" w:hAnsi="黑体" w:eastAsia="黑体"/>
          <w:sz w:val="32"/>
          <w:szCs w:val="32"/>
        </w:rPr>
        <w:t xml:space="preserve">  </w:t>
      </w:r>
      <w:r>
        <w:rPr>
          <w:rFonts w:hint="eastAsia" w:ascii="方正仿宋_GBK" w:eastAsia="方正仿宋_GBK"/>
          <w:sz w:val="32"/>
          <w:szCs w:val="32"/>
        </w:rPr>
        <w:t>本市行政区域内依法必须进行招标的工程建设项目采用“评定分离”方式确定中标人的，</w:t>
      </w:r>
      <w:r>
        <w:rPr>
          <w:rFonts w:ascii="方正仿宋_GBK" w:eastAsia="方正仿宋_GBK"/>
          <w:sz w:val="32"/>
          <w:szCs w:val="32"/>
        </w:rPr>
        <w:t>适用本办法。</w:t>
      </w:r>
    </w:p>
    <w:p w14:paraId="080A657B">
      <w:pPr>
        <w:keepNext w:val="0"/>
        <w:keepLines w:val="0"/>
        <w:pageBreakBefore w:val="0"/>
        <w:widowControl w:val="0"/>
        <w:kinsoku/>
        <w:wordWrap/>
        <w:overflowPunct/>
        <w:topLinePunct w:val="0"/>
        <w:autoSpaceDE/>
        <w:autoSpaceDN/>
        <w:bidi w:val="0"/>
        <w:spacing w:line="580" w:lineRule="exact"/>
        <w:ind w:firstLine="640" w:firstLineChars="200"/>
        <w:textAlignment w:val="auto"/>
        <w:rPr>
          <w:rFonts w:ascii="方正仿宋_GBK" w:eastAsia="方正仿宋_GBK"/>
          <w:sz w:val="32"/>
          <w:szCs w:val="32"/>
        </w:rPr>
      </w:pPr>
      <w:r>
        <w:rPr>
          <w:rFonts w:hint="eastAsia" w:ascii="方正仿宋_GBK" w:eastAsia="方正仿宋_GBK"/>
          <w:sz w:val="32"/>
          <w:szCs w:val="32"/>
        </w:rPr>
        <w:t>是否采用“评定分离”方式确定中标人，由招标人自主确定。</w:t>
      </w:r>
    </w:p>
    <w:p w14:paraId="151B0633">
      <w:pPr>
        <w:keepNext w:val="0"/>
        <w:keepLines w:val="0"/>
        <w:pageBreakBefore w:val="0"/>
        <w:widowControl w:val="0"/>
        <w:kinsoku/>
        <w:wordWrap/>
        <w:overflowPunct/>
        <w:topLinePunct w:val="0"/>
        <w:autoSpaceDE/>
        <w:autoSpaceDN/>
        <w:bidi w:val="0"/>
        <w:spacing w:line="580" w:lineRule="exact"/>
        <w:ind w:firstLine="640" w:firstLineChars="200"/>
        <w:textAlignment w:val="auto"/>
        <w:rPr>
          <w:rFonts w:ascii="方正仿宋_GBK" w:eastAsia="方正仿宋_GBK"/>
          <w:sz w:val="32"/>
          <w:szCs w:val="32"/>
        </w:rPr>
      </w:pPr>
      <w:r>
        <w:rPr>
          <w:rFonts w:hint="eastAsia" w:ascii="方正黑体_GBK" w:hAnsi="方正黑体_GBK" w:eastAsia="方正黑体_GBK" w:cs="方正黑体_GBK"/>
          <w:sz w:val="32"/>
          <w:szCs w:val="32"/>
        </w:rPr>
        <w:t xml:space="preserve">第三条 </w:t>
      </w:r>
      <w:r>
        <w:rPr>
          <w:rFonts w:hint="eastAsia" w:ascii="黑体" w:hAnsi="黑体" w:eastAsia="黑体"/>
          <w:sz w:val="32"/>
          <w:szCs w:val="32"/>
        </w:rPr>
        <w:t xml:space="preserve"> </w:t>
      </w:r>
      <w:r>
        <w:rPr>
          <w:rFonts w:hint="eastAsia" w:ascii="方正仿宋_GBK" w:eastAsia="方正仿宋_GBK"/>
          <w:sz w:val="32"/>
          <w:szCs w:val="32"/>
        </w:rPr>
        <w:t>本办法所称“评定分离”是指招标人通过评标、定标自主确定中标人。评标委员会按照招标文件规定的评标标准和方法进行独立评审，向招标人推荐一定数量合格的中标候选人；定标委员会按照评标委员会的评审意见及招标文件规定的定标程序和规则，从推荐的中标候选人中自主确定中标人。</w:t>
      </w:r>
    </w:p>
    <w:p w14:paraId="2E3C70D6">
      <w:pPr>
        <w:keepNext w:val="0"/>
        <w:keepLines w:val="0"/>
        <w:pageBreakBefore w:val="0"/>
        <w:widowControl w:val="0"/>
        <w:kinsoku/>
        <w:wordWrap/>
        <w:overflowPunct/>
        <w:topLinePunct w:val="0"/>
        <w:autoSpaceDE/>
        <w:autoSpaceDN/>
        <w:bidi w:val="0"/>
        <w:spacing w:line="580" w:lineRule="exact"/>
        <w:ind w:firstLine="640" w:firstLineChars="200"/>
        <w:textAlignment w:val="auto"/>
        <w:rPr>
          <w:rFonts w:ascii="方正仿宋_GBK" w:hAnsi="宋体" w:eastAsia="方正仿宋_GBK" w:cs="宋体"/>
          <w:sz w:val="32"/>
          <w:szCs w:val="32"/>
        </w:rPr>
      </w:pPr>
      <w:r>
        <w:rPr>
          <w:rFonts w:hint="eastAsia" w:ascii="方正黑体_GBK" w:hAnsi="方正黑体_GBK" w:eastAsia="方正黑体_GBK" w:cs="方正黑体_GBK"/>
          <w:sz w:val="32"/>
          <w:szCs w:val="32"/>
        </w:rPr>
        <w:t xml:space="preserve">第四条 </w:t>
      </w:r>
      <w:r>
        <w:rPr>
          <w:rFonts w:hint="eastAsia" w:ascii="黑体" w:hAnsi="黑体" w:eastAsia="黑体"/>
          <w:sz w:val="32"/>
          <w:szCs w:val="32"/>
        </w:rPr>
        <w:t xml:space="preserve"> </w:t>
      </w:r>
      <w:r>
        <w:rPr>
          <w:rFonts w:hint="eastAsia" w:ascii="方正仿宋_GBK" w:eastAsia="方正仿宋_GBK"/>
          <w:sz w:val="32"/>
          <w:szCs w:val="32"/>
        </w:rPr>
        <w:t>“评定</w:t>
      </w:r>
      <w:bookmarkStart w:id="4" w:name="_GoBack"/>
      <w:bookmarkEnd w:id="4"/>
      <w:r>
        <w:rPr>
          <w:rFonts w:hint="eastAsia" w:ascii="方正仿宋_GBK" w:eastAsia="方正仿宋_GBK"/>
          <w:sz w:val="32"/>
          <w:szCs w:val="32"/>
        </w:rPr>
        <w:t>分离”遵循公开透明、竞争择优、科学规范、廉洁高效的原则。</w:t>
      </w:r>
    </w:p>
    <w:p w14:paraId="6F2C4292">
      <w:pPr>
        <w:pStyle w:val="8"/>
        <w:keepNext w:val="0"/>
        <w:keepLines w:val="0"/>
        <w:pageBreakBefore w:val="0"/>
        <w:widowControl w:val="0"/>
        <w:kinsoku/>
        <w:wordWrap/>
        <w:overflowPunct/>
        <w:topLinePunct w:val="0"/>
        <w:autoSpaceDE/>
        <w:autoSpaceDN/>
        <w:bidi w:val="0"/>
        <w:adjustRightInd w:val="0"/>
        <w:snapToGrid w:val="0"/>
        <w:spacing w:after="0" w:line="580" w:lineRule="exact"/>
        <w:jc w:val="center"/>
        <w:textAlignment w:val="auto"/>
        <w:rPr>
          <w:rFonts w:ascii="方正小标宋简体" w:eastAsia="方正小标宋简体"/>
          <w:sz w:val="32"/>
          <w:szCs w:val="32"/>
        </w:rPr>
      </w:pPr>
    </w:p>
    <w:p w14:paraId="2D856B67">
      <w:pPr>
        <w:pStyle w:val="8"/>
        <w:keepNext w:val="0"/>
        <w:keepLines w:val="0"/>
        <w:pageBreakBefore w:val="0"/>
        <w:widowControl w:val="0"/>
        <w:kinsoku/>
        <w:wordWrap/>
        <w:overflowPunct/>
        <w:topLinePunct w:val="0"/>
        <w:autoSpaceDE/>
        <w:autoSpaceDN/>
        <w:bidi w:val="0"/>
        <w:adjustRightInd w:val="0"/>
        <w:snapToGrid w:val="0"/>
        <w:spacing w:after="0" w:line="580" w:lineRule="exact"/>
        <w:jc w:val="center"/>
        <w:textAlignment w:val="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第二章  评  标</w:t>
      </w:r>
    </w:p>
    <w:p w14:paraId="5F0ABDAA">
      <w:pPr>
        <w:pStyle w:val="8"/>
        <w:keepNext w:val="0"/>
        <w:keepLines w:val="0"/>
        <w:pageBreakBefore w:val="0"/>
        <w:widowControl w:val="0"/>
        <w:shd w:val="clear" w:color="auto" w:fill="FFFFFF"/>
        <w:kinsoku/>
        <w:wordWrap/>
        <w:overflowPunct/>
        <w:topLinePunct w:val="0"/>
        <w:autoSpaceDE/>
        <w:autoSpaceDN/>
        <w:bidi w:val="0"/>
        <w:spacing w:after="0" w:line="580" w:lineRule="exact"/>
        <w:ind w:firstLine="640" w:firstLineChars="200"/>
        <w:jc w:val="both"/>
        <w:textAlignment w:val="auto"/>
        <w:rPr>
          <w:rFonts w:eastAsia="方正仿宋_GBK"/>
          <w:sz w:val="32"/>
          <w:szCs w:val="32"/>
        </w:rPr>
      </w:pPr>
      <w:r>
        <w:rPr>
          <w:rFonts w:hint="eastAsia" w:ascii="方正黑体_GBK" w:hAnsi="方正黑体_GBK" w:eastAsia="方正黑体_GBK" w:cs="方正黑体_GBK"/>
          <w:kern w:val="2"/>
          <w:sz w:val="32"/>
          <w:szCs w:val="32"/>
          <w:lang w:val="en-US" w:eastAsia="zh-CN"/>
        </w:rPr>
        <w:t xml:space="preserve">第五条 </w:t>
      </w:r>
      <w:r>
        <w:rPr>
          <w:rFonts w:hint="eastAsia"/>
          <w:color w:val="FF0000"/>
          <w:sz w:val="32"/>
          <w:szCs w:val="32"/>
        </w:rPr>
        <w:t xml:space="preserve"> </w:t>
      </w:r>
      <w:bookmarkStart w:id="0" w:name="OLE_LINK4"/>
      <w:bookmarkStart w:id="1" w:name="OLE_LINK3"/>
      <w:r>
        <w:rPr>
          <w:rFonts w:hint="eastAsia" w:ascii="方正仿宋_GBK" w:eastAsia="方正仿宋_GBK"/>
          <w:sz w:val="32"/>
          <w:szCs w:val="32"/>
        </w:rPr>
        <w:t>招标人依法组建评标委员会。</w:t>
      </w:r>
      <w:bookmarkEnd w:id="0"/>
      <w:bookmarkEnd w:id="1"/>
      <w:r>
        <w:rPr>
          <w:rFonts w:eastAsia="方正仿宋_GBK"/>
          <w:sz w:val="32"/>
          <w:szCs w:val="32"/>
        </w:rPr>
        <w:t>评标委员会应当按照招标文件规定的评标标准和方法，客观、公正地对投标文件提出评审意见，确定有效投标人，出具评标报告，并向招标人推荐</w:t>
      </w:r>
      <w:r>
        <w:rPr>
          <w:rFonts w:hint="eastAsia" w:eastAsia="方正仿宋_GBK"/>
          <w:sz w:val="32"/>
          <w:szCs w:val="32"/>
        </w:rPr>
        <w:t>不超过</w:t>
      </w:r>
      <w:r>
        <w:rPr>
          <w:rFonts w:hint="eastAsia" w:ascii="Times New Roman" w:hAnsi="Times New Roman" w:eastAsia="方正仿宋_GBK"/>
          <w:kern w:val="2"/>
          <w:sz w:val="32"/>
          <w:szCs w:val="32"/>
        </w:rPr>
        <w:t>3</w:t>
      </w:r>
      <w:r>
        <w:rPr>
          <w:rFonts w:hint="eastAsia" w:eastAsia="方正仿宋_GBK"/>
          <w:sz w:val="32"/>
          <w:szCs w:val="32"/>
        </w:rPr>
        <w:t>名中标候选人。</w:t>
      </w:r>
      <w:r>
        <w:rPr>
          <w:rFonts w:hint="eastAsia" w:ascii="方正仿宋_GBK" w:eastAsia="方正仿宋_GBK"/>
          <w:sz w:val="32"/>
          <w:szCs w:val="32"/>
        </w:rPr>
        <w:t>评标报告应载明中标候选人的优势、不足、风险等内容，</w:t>
      </w:r>
      <w:r>
        <w:rPr>
          <w:rFonts w:hint="eastAsia" w:eastAsia="方正仿宋_GBK"/>
          <w:sz w:val="32"/>
          <w:szCs w:val="32"/>
        </w:rPr>
        <w:t>供定标委员会参考。</w:t>
      </w:r>
    </w:p>
    <w:p w14:paraId="55F754E3">
      <w:pPr>
        <w:keepNext w:val="0"/>
        <w:keepLines w:val="0"/>
        <w:pageBreakBefore w:val="0"/>
        <w:widowControl w:val="0"/>
        <w:kinsoku/>
        <w:wordWrap/>
        <w:overflowPunct/>
        <w:topLinePunct w:val="0"/>
        <w:autoSpaceDE/>
        <w:autoSpaceDN/>
        <w:bidi w:val="0"/>
        <w:spacing w:line="580" w:lineRule="exact"/>
        <w:ind w:firstLine="640" w:firstLineChars="200"/>
        <w:textAlignment w:val="auto"/>
        <w:rPr>
          <w:rFonts w:eastAsia="方正仿宋_GBK"/>
          <w:sz w:val="32"/>
          <w:szCs w:val="32"/>
        </w:rPr>
      </w:pPr>
      <w:r>
        <w:rPr>
          <w:rFonts w:hint="eastAsia" w:ascii="方正黑体_GBK" w:hAnsi="方正黑体_GBK" w:eastAsia="方正黑体_GBK" w:cs="方正黑体_GBK"/>
          <w:kern w:val="2"/>
          <w:sz w:val="32"/>
          <w:szCs w:val="32"/>
          <w:lang w:val="en-US" w:eastAsia="zh-CN"/>
        </w:rPr>
        <w:t>第六条</w:t>
      </w:r>
      <w:r>
        <w:rPr>
          <w:rFonts w:hint="eastAsia" w:eastAsia="方正仿宋_GBK"/>
          <w:sz w:val="32"/>
          <w:szCs w:val="32"/>
        </w:rPr>
        <w:t xml:space="preserve">  </w:t>
      </w:r>
      <w:r>
        <w:rPr>
          <w:rFonts w:eastAsia="方正仿宋_GBK"/>
          <w:sz w:val="32"/>
          <w:szCs w:val="32"/>
        </w:rPr>
        <w:t>招标人应当认真审查评标委员会提交的评标报告，并对中标候选人予以公示，公示期不少于</w:t>
      </w:r>
      <w:r>
        <w:rPr>
          <w:rFonts w:ascii="Times New Roman" w:hAnsi="Times New Roman" w:eastAsia="方正仿宋_GBK"/>
          <w:sz w:val="32"/>
          <w:szCs w:val="32"/>
        </w:rPr>
        <w:t>3</w:t>
      </w:r>
      <w:r>
        <w:rPr>
          <w:rFonts w:eastAsia="方正仿宋_GBK"/>
          <w:sz w:val="32"/>
          <w:szCs w:val="32"/>
        </w:rPr>
        <w:t>日。对中标候选人提出异议及投诉的，依照《中华人民共和国招标投标法》及相关法律法规处理。</w:t>
      </w:r>
    </w:p>
    <w:p w14:paraId="6AD1F0BD">
      <w:pPr>
        <w:keepNext w:val="0"/>
        <w:keepLines w:val="0"/>
        <w:pageBreakBefore w:val="0"/>
        <w:widowControl w:val="0"/>
        <w:kinsoku/>
        <w:wordWrap/>
        <w:overflowPunct/>
        <w:topLinePunct w:val="0"/>
        <w:autoSpaceDE/>
        <w:autoSpaceDN/>
        <w:bidi w:val="0"/>
        <w:spacing w:line="580" w:lineRule="exact"/>
        <w:ind w:firstLine="640" w:firstLineChars="200"/>
        <w:textAlignment w:val="auto"/>
        <w:rPr>
          <w:rFonts w:eastAsia="方正仿宋_GBK"/>
          <w:sz w:val="32"/>
          <w:szCs w:val="32"/>
        </w:rPr>
      </w:pPr>
      <w:r>
        <w:rPr>
          <w:rFonts w:hint="eastAsia" w:eastAsia="方正仿宋_GBK"/>
          <w:sz w:val="32"/>
          <w:szCs w:val="32"/>
        </w:rPr>
        <w:t>公示后发现中标候选人不符合中标条件，导致中标候选人不足</w:t>
      </w:r>
      <w:r>
        <w:rPr>
          <w:rFonts w:ascii="Times New Roman" w:hAnsi="Times New Roman" w:eastAsia="方正仿宋_GBK"/>
          <w:sz w:val="32"/>
          <w:szCs w:val="32"/>
        </w:rPr>
        <w:t>3</w:t>
      </w:r>
      <w:r>
        <w:rPr>
          <w:rFonts w:hint="eastAsia" w:eastAsia="方正仿宋_GBK"/>
          <w:sz w:val="32"/>
          <w:szCs w:val="32"/>
        </w:rPr>
        <w:t>名时，由招标人确定是否继续定标或重新招标。</w:t>
      </w:r>
    </w:p>
    <w:p w14:paraId="425E6624">
      <w:pPr>
        <w:pStyle w:val="8"/>
        <w:keepNext w:val="0"/>
        <w:keepLines w:val="0"/>
        <w:pageBreakBefore w:val="0"/>
        <w:widowControl w:val="0"/>
        <w:kinsoku/>
        <w:wordWrap/>
        <w:overflowPunct/>
        <w:topLinePunct w:val="0"/>
        <w:autoSpaceDE/>
        <w:autoSpaceDN/>
        <w:bidi w:val="0"/>
        <w:adjustRightInd w:val="0"/>
        <w:snapToGrid w:val="0"/>
        <w:spacing w:after="0" w:line="580" w:lineRule="exact"/>
        <w:jc w:val="center"/>
        <w:textAlignment w:val="auto"/>
        <w:rPr>
          <w:rFonts w:ascii="方正小标宋简体" w:eastAsia="方正小标宋简体"/>
          <w:sz w:val="32"/>
          <w:szCs w:val="32"/>
        </w:rPr>
      </w:pPr>
    </w:p>
    <w:p w14:paraId="164A06F7">
      <w:pPr>
        <w:pStyle w:val="8"/>
        <w:keepNext w:val="0"/>
        <w:keepLines w:val="0"/>
        <w:pageBreakBefore w:val="0"/>
        <w:widowControl w:val="0"/>
        <w:kinsoku/>
        <w:wordWrap/>
        <w:overflowPunct/>
        <w:topLinePunct w:val="0"/>
        <w:autoSpaceDE/>
        <w:autoSpaceDN/>
        <w:bidi w:val="0"/>
        <w:adjustRightInd w:val="0"/>
        <w:snapToGrid w:val="0"/>
        <w:spacing w:after="0" w:line="580" w:lineRule="exact"/>
        <w:jc w:val="center"/>
        <w:textAlignment w:val="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第三章  定  标</w:t>
      </w:r>
    </w:p>
    <w:p w14:paraId="3B7FD09E">
      <w:pPr>
        <w:keepNext w:val="0"/>
        <w:keepLines w:val="0"/>
        <w:pageBreakBefore w:val="0"/>
        <w:widowControl w:val="0"/>
        <w:kinsoku/>
        <w:wordWrap/>
        <w:overflowPunct/>
        <w:topLinePunct w:val="0"/>
        <w:autoSpaceDE/>
        <w:autoSpaceDN/>
        <w:bidi w:val="0"/>
        <w:spacing w:line="580" w:lineRule="exact"/>
        <w:ind w:firstLine="640" w:firstLineChars="200"/>
        <w:textAlignment w:val="auto"/>
        <w:rPr>
          <w:rFonts w:ascii="方正仿宋_GBK" w:eastAsia="方正仿宋_GBK"/>
          <w:sz w:val="32"/>
          <w:szCs w:val="32"/>
        </w:rPr>
      </w:pPr>
      <w:r>
        <w:rPr>
          <w:rFonts w:hint="eastAsia" w:ascii="方正黑体_GBK" w:hAnsi="方正黑体_GBK" w:eastAsia="方正黑体_GBK" w:cs="方正黑体_GBK"/>
          <w:kern w:val="2"/>
          <w:sz w:val="32"/>
          <w:szCs w:val="32"/>
          <w:lang w:val="en-US" w:eastAsia="zh-CN"/>
        </w:rPr>
        <w:t>第七条</w:t>
      </w:r>
      <w:r>
        <w:rPr>
          <w:rFonts w:hint="eastAsia" w:ascii="黑体" w:hAnsi="黑体" w:eastAsia="黑体"/>
          <w:sz w:val="32"/>
          <w:szCs w:val="32"/>
        </w:rPr>
        <w:t xml:space="preserve">  </w:t>
      </w:r>
      <w:r>
        <w:rPr>
          <w:rFonts w:hint="eastAsia" w:ascii="方正仿宋_GBK" w:eastAsia="方正仿宋_GBK"/>
          <w:sz w:val="32"/>
          <w:szCs w:val="32"/>
        </w:rPr>
        <w:t>招标人应按以下标准和方法组建定标委员会：</w:t>
      </w:r>
    </w:p>
    <w:p w14:paraId="565A2D9A">
      <w:pPr>
        <w:keepNext w:val="0"/>
        <w:keepLines w:val="0"/>
        <w:pageBreakBefore w:val="0"/>
        <w:widowControl w:val="0"/>
        <w:kinsoku/>
        <w:wordWrap/>
        <w:overflowPunct/>
        <w:topLinePunct w:val="0"/>
        <w:autoSpaceDE/>
        <w:autoSpaceDN/>
        <w:bidi w:val="0"/>
        <w:spacing w:line="580" w:lineRule="exact"/>
        <w:ind w:firstLine="640" w:firstLineChars="200"/>
        <w:textAlignment w:val="auto"/>
        <w:rPr>
          <w:rFonts w:ascii="方正仿宋_GBK" w:eastAsia="方正仿宋_GBK"/>
          <w:sz w:val="32"/>
          <w:szCs w:val="32"/>
        </w:rPr>
      </w:pPr>
      <w:r>
        <w:rPr>
          <w:rFonts w:hint="eastAsia" w:ascii="方正仿宋_GBK" w:eastAsia="方正仿宋_GBK"/>
          <w:sz w:val="32"/>
          <w:szCs w:val="32"/>
        </w:rPr>
        <w:t>（一）定标委员会成员数量应当为</w:t>
      </w:r>
      <w:r>
        <w:rPr>
          <w:rFonts w:ascii="Times New Roman" w:hAnsi="Times New Roman" w:eastAsia="方正仿宋_GBK"/>
          <w:sz w:val="32"/>
          <w:szCs w:val="32"/>
        </w:rPr>
        <w:t>5</w:t>
      </w:r>
      <w:r>
        <w:rPr>
          <w:rFonts w:eastAsia="方正仿宋_GBK"/>
          <w:sz w:val="32"/>
          <w:szCs w:val="32"/>
        </w:rPr>
        <w:t>人</w:t>
      </w:r>
      <w:r>
        <w:rPr>
          <w:rFonts w:hint="eastAsia" w:ascii="方正仿宋_GBK" w:eastAsia="方正仿宋_GBK"/>
          <w:sz w:val="32"/>
          <w:szCs w:val="32"/>
        </w:rPr>
        <w:t>及以上单数；</w:t>
      </w:r>
    </w:p>
    <w:p w14:paraId="2A065FF6">
      <w:pPr>
        <w:keepNext w:val="0"/>
        <w:keepLines w:val="0"/>
        <w:pageBreakBefore w:val="0"/>
        <w:widowControl w:val="0"/>
        <w:kinsoku/>
        <w:wordWrap/>
        <w:overflowPunct/>
        <w:topLinePunct w:val="0"/>
        <w:autoSpaceDE/>
        <w:autoSpaceDN/>
        <w:bidi w:val="0"/>
        <w:spacing w:line="580" w:lineRule="exact"/>
        <w:ind w:firstLine="640" w:firstLineChars="200"/>
        <w:textAlignment w:val="auto"/>
        <w:rPr>
          <w:rFonts w:ascii="方正仿宋_GBK" w:eastAsia="方正仿宋_GBK"/>
          <w:sz w:val="32"/>
          <w:szCs w:val="32"/>
        </w:rPr>
      </w:pPr>
      <w:r>
        <w:rPr>
          <w:rFonts w:hint="eastAsia" w:ascii="方正仿宋_GBK" w:eastAsia="方正仿宋_GBK"/>
          <w:sz w:val="32"/>
          <w:szCs w:val="32"/>
        </w:rPr>
        <w:t xml:space="preserve">（二）定标委员会成员由招标人确定，一般由招标人代表、项目业主代表和项目使用单位代表组成；确有需要的，也可邀请与中标候选人无利害关系的外部专家参与定标，外部专家数量不得超过成员总数的三分之一； </w:t>
      </w:r>
    </w:p>
    <w:p w14:paraId="22BB910D">
      <w:pPr>
        <w:keepNext w:val="0"/>
        <w:keepLines w:val="0"/>
        <w:pageBreakBefore w:val="0"/>
        <w:widowControl w:val="0"/>
        <w:kinsoku/>
        <w:wordWrap/>
        <w:overflowPunct/>
        <w:topLinePunct w:val="0"/>
        <w:autoSpaceDE/>
        <w:autoSpaceDN/>
        <w:bidi w:val="0"/>
        <w:spacing w:line="580" w:lineRule="exact"/>
        <w:ind w:firstLine="640" w:firstLineChars="200"/>
        <w:textAlignment w:val="auto"/>
        <w:rPr>
          <w:rFonts w:ascii="方正仿宋_GBK" w:eastAsia="方正仿宋_GBK"/>
          <w:sz w:val="32"/>
          <w:szCs w:val="32"/>
        </w:rPr>
      </w:pPr>
      <w:r>
        <w:rPr>
          <w:rFonts w:hint="eastAsia" w:ascii="方正仿宋_GBK" w:eastAsia="方正仿宋_GBK"/>
          <w:sz w:val="32"/>
          <w:szCs w:val="32"/>
        </w:rPr>
        <w:t>（三）定标委员会设组长一名，原则上由招标人的法定代表人、主要负责人或被授权的分管负责人担任，负责主持定标会议。</w:t>
      </w:r>
    </w:p>
    <w:p w14:paraId="133C01F2">
      <w:pPr>
        <w:keepNext w:val="0"/>
        <w:keepLines w:val="0"/>
        <w:pageBreakBefore w:val="0"/>
        <w:widowControl w:val="0"/>
        <w:kinsoku/>
        <w:wordWrap/>
        <w:overflowPunct/>
        <w:topLinePunct w:val="0"/>
        <w:autoSpaceDE/>
        <w:autoSpaceDN/>
        <w:bidi w:val="0"/>
        <w:spacing w:line="580" w:lineRule="exact"/>
        <w:ind w:firstLine="640" w:firstLineChars="200"/>
        <w:textAlignment w:val="auto"/>
        <w:rPr>
          <w:rFonts w:ascii="方正仿宋_GBK" w:eastAsia="方正仿宋_GBK"/>
          <w:sz w:val="32"/>
          <w:szCs w:val="32"/>
        </w:rPr>
      </w:pPr>
      <w:r>
        <w:rPr>
          <w:rFonts w:hint="eastAsia" w:ascii="方正仿宋_GBK" w:eastAsia="方正仿宋_GBK"/>
          <w:sz w:val="32"/>
          <w:szCs w:val="32"/>
        </w:rPr>
        <w:t>评标委员会成员原则上不得担任定标委员会成员。定标委员会成员与中标候选人有利害关系的应主动说明并申请回避。定标委员会名单在中标结果确定前应当保密。</w:t>
      </w:r>
    </w:p>
    <w:p w14:paraId="427358A3">
      <w:pPr>
        <w:keepNext w:val="0"/>
        <w:keepLines w:val="0"/>
        <w:pageBreakBefore w:val="0"/>
        <w:widowControl w:val="0"/>
        <w:kinsoku/>
        <w:wordWrap/>
        <w:overflowPunct/>
        <w:topLinePunct w:val="0"/>
        <w:autoSpaceDE/>
        <w:autoSpaceDN/>
        <w:bidi w:val="0"/>
        <w:spacing w:line="580" w:lineRule="exact"/>
        <w:ind w:firstLine="640" w:firstLineChars="200"/>
        <w:textAlignment w:val="auto"/>
        <w:rPr>
          <w:rFonts w:eastAsia="方正仿宋_GBK"/>
          <w:sz w:val="32"/>
          <w:szCs w:val="32"/>
        </w:rPr>
      </w:pPr>
      <w:r>
        <w:rPr>
          <w:rFonts w:hint="eastAsia" w:ascii="方正黑体_GBK" w:hAnsi="方正黑体_GBK" w:eastAsia="方正黑体_GBK" w:cs="方正黑体_GBK"/>
          <w:kern w:val="2"/>
          <w:sz w:val="32"/>
          <w:szCs w:val="32"/>
          <w:lang w:val="en-US" w:eastAsia="zh-CN"/>
        </w:rPr>
        <w:t>第八条</w:t>
      </w:r>
      <w:r>
        <w:rPr>
          <w:rFonts w:hint="eastAsia" w:ascii="黑体" w:hAnsi="黑体" w:eastAsia="黑体"/>
          <w:sz w:val="32"/>
          <w:szCs w:val="32"/>
        </w:rPr>
        <w:t xml:space="preserve">  </w:t>
      </w:r>
      <w:r>
        <w:rPr>
          <w:rFonts w:hint="eastAsia" w:eastAsia="方正仿宋_GBK"/>
          <w:sz w:val="32"/>
          <w:szCs w:val="32"/>
        </w:rPr>
        <w:t>招标人原则上自中标候选人公示结束后</w:t>
      </w:r>
      <w:r>
        <w:rPr>
          <w:rFonts w:ascii="Times New Roman" w:hAnsi="Times New Roman" w:eastAsia="方正仿宋_GBK"/>
          <w:sz w:val="32"/>
          <w:szCs w:val="32"/>
        </w:rPr>
        <w:t>7</w:t>
      </w:r>
      <w:r>
        <w:rPr>
          <w:rFonts w:hint="eastAsia" w:eastAsia="方正仿宋_GBK"/>
          <w:sz w:val="32"/>
          <w:szCs w:val="32"/>
        </w:rPr>
        <w:t>个工作日内组织定标会议。如因招标文件约定或其他特殊原因，定标会议时间可以适当延期，但最终定标时间不得超过投标有效期。</w:t>
      </w:r>
    </w:p>
    <w:p w14:paraId="69440196">
      <w:pPr>
        <w:keepNext w:val="0"/>
        <w:keepLines w:val="0"/>
        <w:pageBreakBefore w:val="0"/>
        <w:widowControl w:val="0"/>
        <w:kinsoku/>
        <w:wordWrap/>
        <w:overflowPunct/>
        <w:topLinePunct w:val="0"/>
        <w:autoSpaceDE/>
        <w:autoSpaceDN/>
        <w:bidi w:val="0"/>
        <w:spacing w:line="580" w:lineRule="exact"/>
        <w:ind w:firstLine="640" w:firstLineChars="200"/>
        <w:textAlignment w:val="auto"/>
        <w:rPr>
          <w:rFonts w:eastAsia="方正仿宋_GBK"/>
          <w:sz w:val="32"/>
          <w:szCs w:val="32"/>
        </w:rPr>
      </w:pPr>
      <w:bookmarkStart w:id="2" w:name="OLE_LINK2"/>
      <w:bookmarkStart w:id="3" w:name="OLE_LINK1"/>
      <w:r>
        <w:rPr>
          <w:rFonts w:hint="eastAsia" w:ascii="方正黑体_GBK" w:hAnsi="方正黑体_GBK" w:eastAsia="方正黑体_GBK" w:cs="方正黑体_GBK"/>
          <w:kern w:val="2"/>
          <w:sz w:val="32"/>
          <w:szCs w:val="32"/>
          <w:lang w:val="en-US" w:eastAsia="zh-CN"/>
        </w:rPr>
        <w:t xml:space="preserve">第九条 </w:t>
      </w:r>
      <w:r>
        <w:rPr>
          <w:rFonts w:hint="eastAsia" w:ascii="黑体" w:hAnsi="黑体" w:eastAsia="黑体"/>
          <w:sz w:val="32"/>
          <w:szCs w:val="32"/>
        </w:rPr>
        <w:t xml:space="preserve"> </w:t>
      </w:r>
      <w:r>
        <w:rPr>
          <w:rFonts w:hint="eastAsia" w:eastAsia="方正仿宋_GBK"/>
          <w:sz w:val="32"/>
          <w:szCs w:val="32"/>
        </w:rPr>
        <w:t>在定标会议召开前，招标人应对中标候选人进行核验，对通过核验的中标候选人，可以进行考察、函询等，并出具考察、函询报告作为定标的辅助参考。考察、函询等有关情况在定标会议召开前应当保密。</w:t>
      </w:r>
    </w:p>
    <w:bookmarkEnd w:id="2"/>
    <w:bookmarkEnd w:id="3"/>
    <w:p w14:paraId="7ECBB333">
      <w:pPr>
        <w:keepNext w:val="0"/>
        <w:keepLines w:val="0"/>
        <w:pageBreakBefore w:val="0"/>
        <w:widowControl w:val="0"/>
        <w:kinsoku/>
        <w:wordWrap/>
        <w:overflowPunct/>
        <w:topLinePunct w:val="0"/>
        <w:autoSpaceDE/>
        <w:autoSpaceDN/>
        <w:bidi w:val="0"/>
        <w:spacing w:line="580" w:lineRule="exact"/>
        <w:ind w:firstLine="640" w:firstLineChars="200"/>
        <w:textAlignment w:val="auto"/>
        <w:rPr>
          <w:rFonts w:eastAsia="方正仿宋_GBK"/>
          <w:sz w:val="32"/>
          <w:szCs w:val="32"/>
        </w:rPr>
      </w:pPr>
      <w:r>
        <w:rPr>
          <w:rFonts w:hint="eastAsia" w:ascii="方正黑体_GBK" w:hAnsi="方正黑体_GBK" w:eastAsia="方正黑体_GBK" w:cs="方正黑体_GBK"/>
          <w:kern w:val="2"/>
          <w:sz w:val="32"/>
          <w:szCs w:val="32"/>
          <w:lang w:val="en-US" w:eastAsia="zh-CN"/>
        </w:rPr>
        <w:t xml:space="preserve">第十条 </w:t>
      </w:r>
      <w:r>
        <w:rPr>
          <w:rFonts w:hint="eastAsia" w:ascii="黑体" w:hAnsi="黑体" w:eastAsia="黑体"/>
          <w:sz w:val="32"/>
          <w:szCs w:val="32"/>
        </w:rPr>
        <w:t xml:space="preserve"> </w:t>
      </w:r>
      <w:r>
        <w:rPr>
          <w:rFonts w:hint="eastAsia" w:eastAsia="方正仿宋_GBK"/>
          <w:sz w:val="32"/>
          <w:szCs w:val="32"/>
        </w:rPr>
        <w:t>定标方法应在招标文件中明确，可采用票决记分法、集体议事法或其他定标方法。</w:t>
      </w:r>
    </w:p>
    <w:p w14:paraId="4ED2602C">
      <w:pPr>
        <w:keepNext w:val="0"/>
        <w:keepLines w:val="0"/>
        <w:pageBreakBefore w:val="0"/>
        <w:widowControl w:val="0"/>
        <w:kinsoku/>
        <w:wordWrap/>
        <w:overflowPunct/>
        <w:topLinePunct w:val="0"/>
        <w:autoSpaceDE/>
        <w:autoSpaceDN/>
        <w:bidi w:val="0"/>
        <w:spacing w:line="580" w:lineRule="exact"/>
        <w:ind w:firstLine="640" w:firstLineChars="200"/>
        <w:textAlignment w:val="auto"/>
        <w:rPr>
          <w:rFonts w:eastAsia="方正仿宋_GBK"/>
          <w:sz w:val="32"/>
          <w:szCs w:val="32"/>
        </w:rPr>
      </w:pPr>
      <w:r>
        <w:rPr>
          <w:rFonts w:hint="eastAsia" w:eastAsia="方正仿宋_GBK"/>
          <w:sz w:val="32"/>
          <w:szCs w:val="32"/>
        </w:rPr>
        <w:t>（一）票决记分法。定标委员会成员根据定标要素优先顺序及权重分值，对中标候选人进行投票，中标候选人得票数乘以定标要素的分值为中标候选人该定标要素的得分，所有定标要素得分累计最高的为中标人。</w:t>
      </w:r>
    </w:p>
    <w:p w14:paraId="089EE0CB">
      <w:pPr>
        <w:keepNext w:val="0"/>
        <w:keepLines w:val="0"/>
        <w:pageBreakBefore w:val="0"/>
        <w:widowControl w:val="0"/>
        <w:kinsoku/>
        <w:wordWrap/>
        <w:overflowPunct/>
        <w:topLinePunct w:val="0"/>
        <w:autoSpaceDE/>
        <w:autoSpaceDN/>
        <w:bidi w:val="0"/>
        <w:spacing w:line="580" w:lineRule="exact"/>
        <w:ind w:firstLine="640" w:firstLineChars="200"/>
        <w:textAlignment w:val="auto"/>
        <w:rPr>
          <w:rFonts w:eastAsia="方正仿宋_GBK"/>
          <w:sz w:val="32"/>
          <w:szCs w:val="32"/>
        </w:rPr>
      </w:pPr>
      <w:r>
        <w:rPr>
          <w:rFonts w:hint="eastAsia" w:eastAsia="方正仿宋_GBK"/>
          <w:sz w:val="32"/>
          <w:szCs w:val="32"/>
        </w:rPr>
        <w:t>（二）集体议事法。定标委员会集体商议，定标委员会成员各自发表意见，最终由定标委员会组长综合各成员意见确定中标人。</w:t>
      </w:r>
    </w:p>
    <w:p w14:paraId="72971B62">
      <w:pPr>
        <w:keepNext w:val="0"/>
        <w:keepLines w:val="0"/>
        <w:pageBreakBefore w:val="0"/>
        <w:widowControl w:val="0"/>
        <w:kinsoku/>
        <w:wordWrap/>
        <w:overflowPunct/>
        <w:topLinePunct w:val="0"/>
        <w:autoSpaceDE/>
        <w:autoSpaceDN/>
        <w:bidi w:val="0"/>
        <w:spacing w:line="580" w:lineRule="exact"/>
        <w:ind w:firstLine="640" w:firstLineChars="200"/>
        <w:textAlignment w:val="auto"/>
        <w:rPr>
          <w:rFonts w:eastAsia="方正仿宋_GBK"/>
          <w:sz w:val="32"/>
          <w:szCs w:val="32"/>
        </w:rPr>
      </w:pPr>
      <w:r>
        <w:rPr>
          <w:rFonts w:hint="eastAsia" w:eastAsia="方正仿宋_GBK"/>
          <w:sz w:val="32"/>
          <w:szCs w:val="32"/>
        </w:rPr>
        <w:t>（三）其他定标方法。招标人根据项目特点和需求确定的其他定标方法。</w:t>
      </w:r>
    </w:p>
    <w:p w14:paraId="4D6BA57B">
      <w:pPr>
        <w:keepNext w:val="0"/>
        <w:keepLines w:val="0"/>
        <w:pageBreakBefore w:val="0"/>
        <w:widowControl w:val="0"/>
        <w:kinsoku/>
        <w:wordWrap/>
        <w:overflowPunct/>
        <w:topLinePunct w:val="0"/>
        <w:autoSpaceDE/>
        <w:autoSpaceDN/>
        <w:bidi w:val="0"/>
        <w:spacing w:line="580" w:lineRule="exact"/>
        <w:ind w:firstLine="640" w:firstLineChars="200"/>
        <w:textAlignment w:val="auto"/>
        <w:rPr>
          <w:rFonts w:eastAsia="方正仿宋_GBK"/>
          <w:sz w:val="32"/>
          <w:szCs w:val="32"/>
        </w:rPr>
      </w:pPr>
      <w:r>
        <w:rPr>
          <w:rFonts w:hint="eastAsia" w:ascii="方正黑体_GBK" w:hAnsi="方正黑体_GBK" w:eastAsia="方正黑体_GBK" w:cs="方正黑体_GBK"/>
          <w:kern w:val="2"/>
          <w:sz w:val="32"/>
          <w:szCs w:val="32"/>
          <w:lang w:val="en-US" w:eastAsia="zh-CN"/>
        </w:rPr>
        <w:t>第十一条</w:t>
      </w:r>
      <w:r>
        <w:rPr>
          <w:rFonts w:hint="eastAsia" w:ascii="黑体" w:hAnsi="黑体" w:eastAsia="黑体"/>
          <w:sz w:val="32"/>
          <w:szCs w:val="32"/>
        </w:rPr>
        <w:t xml:space="preserve">  </w:t>
      </w:r>
      <w:r>
        <w:rPr>
          <w:rFonts w:hint="eastAsia" w:eastAsia="方正仿宋_GBK"/>
          <w:sz w:val="32"/>
          <w:szCs w:val="32"/>
        </w:rPr>
        <w:t>招标人根据项目特点和实际需要在招标文件中明确定标要素。定标要素可参考中标候选人的综合实力、拟派团队能力与水平、技术方案、企业信誉、质量安全、价格、考察或函询情况等，以及需要考量的其他要素。</w:t>
      </w:r>
    </w:p>
    <w:p w14:paraId="37B745F5">
      <w:pPr>
        <w:keepNext w:val="0"/>
        <w:keepLines w:val="0"/>
        <w:pageBreakBefore w:val="0"/>
        <w:widowControl w:val="0"/>
        <w:kinsoku/>
        <w:wordWrap/>
        <w:overflowPunct/>
        <w:topLinePunct w:val="0"/>
        <w:autoSpaceDE/>
        <w:autoSpaceDN/>
        <w:bidi w:val="0"/>
        <w:spacing w:line="580" w:lineRule="exact"/>
        <w:ind w:firstLine="640" w:firstLineChars="200"/>
        <w:textAlignment w:val="auto"/>
        <w:rPr>
          <w:rFonts w:eastAsia="方正仿宋_GBK"/>
          <w:sz w:val="32"/>
          <w:szCs w:val="32"/>
        </w:rPr>
      </w:pPr>
      <w:r>
        <w:rPr>
          <w:rFonts w:hint="eastAsia" w:ascii="方正黑体_GBK" w:hAnsi="方正黑体_GBK" w:eastAsia="方正黑体_GBK" w:cs="方正黑体_GBK"/>
          <w:kern w:val="2"/>
          <w:sz w:val="32"/>
          <w:szCs w:val="32"/>
          <w:lang w:val="en-US" w:eastAsia="zh-CN"/>
        </w:rPr>
        <w:t>第十二条</w:t>
      </w:r>
      <w:r>
        <w:rPr>
          <w:rFonts w:hint="eastAsia" w:ascii="黑体" w:hAnsi="黑体" w:eastAsia="黑体"/>
          <w:sz w:val="32"/>
          <w:szCs w:val="32"/>
        </w:rPr>
        <w:t xml:space="preserve">  </w:t>
      </w:r>
      <w:r>
        <w:rPr>
          <w:rFonts w:hint="eastAsia" w:eastAsia="方正仿宋_GBK"/>
          <w:sz w:val="32"/>
          <w:szCs w:val="32"/>
        </w:rPr>
        <w:t>定标会议应当在市、县公共资源交易中心进行，全程录音录像，并存档备查。</w:t>
      </w:r>
    </w:p>
    <w:p w14:paraId="7350DE57">
      <w:pPr>
        <w:keepNext w:val="0"/>
        <w:keepLines w:val="0"/>
        <w:pageBreakBefore w:val="0"/>
        <w:widowControl w:val="0"/>
        <w:kinsoku/>
        <w:wordWrap/>
        <w:overflowPunct/>
        <w:topLinePunct w:val="0"/>
        <w:autoSpaceDE/>
        <w:autoSpaceDN/>
        <w:bidi w:val="0"/>
        <w:spacing w:line="580" w:lineRule="exact"/>
        <w:ind w:firstLine="640" w:firstLineChars="200"/>
        <w:textAlignment w:val="auto"/>
        <w:rPr>
          <w:rFonts w:eastAsia="方正仿宋_GBK"/>
          <w:color w:val="FF0000"/>
          <w:sz w:val="32"/>
          <w:szCs w:val="32"/>
        </w:rPr>
      </w:pPr>
      <w:r>
        <w:rPr>
          <w:rFonts w:hint="eastAsia" w:eastAsia="方正仿宋_GBK"/>
          <w:sz w:val="32"/>
          <w:szCs w:val="32"/>
        </w:rPr>
        <w:t>定标委员会严格按照招标文件规定的定标方法确定</w:t>
      </w:r>
      <w:r>
        <w:rPr>
          <w:rFonts w:ascii="Times New Roman" w:hAnsi="Times New Roman" w:eastAsia="方正仿宋_GBK"/>
          <w:sz w:val="32"/>
          <w:szCs w:val="32"/>
        </w:rPr>
        <w:t>1</w:t>
      </w:r>
      <w:r>
        <w:rPr>
          <w:rFonts w:hint="eastAsia" w:eastAsia="方正仿宋_GBK"/>
          <w:sz w:val="32"/>
          <w:szCs w:val="32"/>
        </w:rPr>
        <w:t>名中标人。定标会议主要包括介绍与会人员，宣读定标纪律，签署承诺书，通报项目基本情况、招标情况、评标情况、专家评审意见、考察或函询情况等，开展定标工作，形成定标报告。</w:t>
      </w:r>
    </w:p>
    <w:p w14:paraId="49E271B7">
      <w:pPr>
        <w:keepNext w:val="0"/>
        <w:keepLines w:val="0"/>
        <w:pageBreakBefore w:val="0"/>
        <w:widowControl w:val="0"/>
        <w:kinsoku/>
        <w:wordWrap/>
        <w:overflowPunct/>
        <w:topLinePunct w:val="0"/>
        <w:autoSpaceDE/>
        <w:autoSpaceDN/>
        <w:bidi w:val="0"/>
        <w:spacing w:line="580" w:lineRule="exact"/>
        <w:ind w:firstLine="640" w:firstLineChars="200"/>
        <w:textAlignment w:val="auto"/>
        <w:rPr>
          <w:rFonts w:eastAsia="方正仿宋_GBK"/>
          <w:sz w:val="32"/>
          <w:szCs w:val="32"/>
        </w:rPr>
      </w:pPr>
      <w:r>
        <w:rPr>
          <w:rFonts w:hint="eastAsia" w:ascii="方正黑体_GBK" w:hAnsi="方正黑体_GBK" w:eastAsia="方正黑体_GBK" w:cs="方正黑体_GBK"/>
          <w:kern w:val="2"/>
          <w:sz w:val="32"/>
          <w:szCs w:val="32"/>
          <w:lang w:val="en-US" w:eastAsia="zh-CN"/>
        </w:rPr>
        <w:t xml:space="preserve">第十三条 </w:t>
      </w:r>
      <w:r>
        <w:rPr>
          <w:rFonts w:hint="eastAsia" w:ascii="黑体" w:hAnsi="黑体" w:eastAsia="黑体"/>
          <w:sz w:val="32"/>
          <w:szCs w:val="32"/>
        </w:rPr>
        <w:t xml:space="preserve"> </w:t>
      </w:r>
      <w:r>
        <w:rPr>
          <w:rFonts w:hint="eastAsia" w:eastAsia="方正仿宋_GBK"/>
          <w:sz w:val="32"/>
          <w:szCs w:val="32"/>
        </w:rPr>
        <w:t>招标人应当及时发布中标结果公示，并向中标人发出中标通知书。</w:t>
      </w:r>
    </w:p>
    <w:p w14:paraId="14A20F01">
      <w:pPr>
        <w:keepNext w:val="0"/>
        <w:keepLines w:val="0"/>
        <w:pageBreakBefore w:val="0"/>
        <w:widowControl w:val="0"/>
        <w:kinsoku/>
        <w:wordWrap/>
        <w:overflowPunct/>
        <w:topLinePunct w:val="0"/>
        <w:autoSpaceDE/>
        <w:autoSpaceDN/>
        <w:bidi w:val="0"/>
        <w:spacing w:line="580" w:lineRule="exact"/>
        <w:ind w:firstLine="640" w:firstLineChars="200"/>
        <w:textAlignment w:val="auto"/>
        <w:rPr>
          <w:rFonts w:eastAsia="方正仿宋_GBK"/>
          <w:sz w:val="32"/>
          <w:szCs w:val="32"/>
        </w:rPr>
      </w:pPr>
      <w:r>
        <w:rPr>
          <w:rFonts w:hint="eastAsia" w:ascii="方正黑体_GBK" w:hAnsi="方正黑体_GBK" w:eastAsia="方正黑体_GBK" w:cs="方正黑体_GBK"/>
          <w:kern w:val="2"/>
          <w:sz w:val="32"/>
          <w:szCs w:val="32"/>
          <w:lang w:val="en-US" w:eastAsia="zh-CN"/>
        </w:rPr>
        <w:t xml:space="preserve">第十四条 </w:t>
      </w:r>
      <w:r>
        <w:rPr>
          <w:rFonts w:hint="eastAsia" w:ascii="黑体" w:hAnsi="黑体" w:eastAsia="黑体"/>
          <w:sz w:val="32"/>
          <w:szCs w:val="32"/>
        </w:rPr>
        <w:t xml:space="preserve"> </w:t>
      </w:r>
      <w:r>
        <w:rPr>
          <w:rFonts w:hint="eastAsia" w:eastAsia="方正仿宋_GBK"/>
          <w:sz w:val="32"/>
          <w:szCs w:val="32"/>
        </w:rPr>
        <w:t>对中标人放弃中标、因不可抗力不能履行合同、不按照招标文件要求缴纳履约保证金、被查实存在影响中标结果的违法行为等情形，招标人可以在剩余的中标候选人中继续组织定标活动或重新招标。</w:t>
      </w:r>
    </w:p>
    <w:p w14:paraId="7E662F80">
      <w:pPr>
        <w:keepNext w:val="0"/>
        <w:keepLines w:val="0"/>
        <w:pageBreakBefore w:val="0"/>
        <w:widowControl w:val="0"/>
        <w:kinsoku/>
        <w:wordWrap/>
        <w:overflowPunct/>
        <w:topLinePunct w:val="0"/>
        <w:autoSpaceDE/>
        <w:autoSpaceDN/>
        <w:bidi w:val="0"/>
        <w:spacing w:line="580" w:lineRule="exact"/>
        <w:ind w:firstLine="640" w:firstLineChars="200"/>
        <w:textAlignment w:val="auto"/>
        <w:rPr>
          <w:rFonts w:eastAsia="方正仿宋_GBK"/>
          <w:sz w:val="32"/>
          <w:szCs w:val="32"/>
        </w:rPr>
      </w:pPr>
      <w:r>
        <w:rPr>
          <w:rFonts w:hint="eastAsia" w:eastAsia="方正仿宋_GBK"/>
          <w:sz w:val="32"/>
          <w:szCs w:val="32"/>
        </w:rPr>
        <w:t>对中标人以非正当理由放弃中标或被依法依规取消中标资格的，招标人应当向公共资源交易综合管理部门、行业监督部门报告。</w:t>
      </w:r>
    </w:p>
    <w:p w14:paraId="1EE8DE50">
      <w:pPr>
        <w:keepNext w:val="0"/>
        <w:keepLines w:val="0"/>
        <w:pageBreakBefore w:val="0"/>
        <w:widowControl w:val="0"/>
        <w:kinsoku/>
        <w:wordWrap/>
        <w:overflowPunct/>
        <w:topLinePunct w:val="0"/>
        <w:autoSpaceDE/>
        <w:autoSpaceDN/>
        <w:bidi w:val="0"/>
        <w:spacing w:line="580" w:lineRule="exact"/>
        <w:ind w:firstLine="640" w:firstLineChars="200"/>
        <w:textAlignment w:val="auto"/>
        <w:rPr>
          <w:rFonts w:eastAsia="方正仿宋_GBK"/>
          <w:sz w:val="32"/>
          <w:szCs w:val="32"/>
        </w:rPr>
      </w:pPr>
      <w:r>
        <w:rPr>
          <w:rFonts w:hint="eastAsia" w:ascii="方正黑体_GBK" w:hAnsi="方正黑体_GBK" w:eastAsia="方正黑体_GBK" w:cs="方正黑体_GBK"/>
          <w:sz w:val="32"/>
          <w:szCs w:val="32"/>
        </w:rPr>
        <w:t xml:space="preserve">第十五条 </w:t>
      </w:r>
      <w:r>
        <w:rPr>
          <w:rFonts w:hint="eastAsia" w:eastAsia="方正仿宋_GBK"/>
          <w:sz w:val="32"/>
          <w:szCs w:val="32"/>
        </w:rPr>
        <w:t xml:space="preserve"> </w:t>
      </w:r>
      <w:r>
        <w:rPr>
          <w:rFonts w:eastAsia="方正仿宋_GBK"/>
          <w:sz w:val="32"/>
          <w:szCs w:val="32"/>
        </w:rPr>
        <w:t xml:space="preserve">定标后有下列情形之一的，招标人应重新定标： </w:t>
      </w:r>
    </w:p>
    <w:p w14:paraId="1CDE43F1">
      <w:pPr>
        <w:keepNext w:val="0"/>
        <w:keepLines w:val="0"/>
        <w:pageBreakBefore w:val="0"/>
        <w:widowControl w:val="0"/>
        <w:kinsoku/>
        <w:wordWrap/>
        <w:overflowPunct/>
        <w:topLinePunct w:val="0"/>
        <w:autoSpaceDE/>
        <w:autoSpaceDN/>
        <w:bidi w:val="0"/>
        <w:spacing w:line="580" w:lineRule="exact"/>
        <w:ind w:firstLine="640" w:firstLineChars="200"/>
        <w:textAlignment w:val="auto"/>
        <w:rPr>
          <w:rFonts w:eastAsia="方正仿宋_GBK"/>
          <w:sz w:val="32"/>
          <w:szCs w:val="32"/>
        </w:rPr>
      </w:pPr>
      <w:r>
        <w:rPr>
          <w:rFonts w:eastAsia="方正仿宋_GBK"/>
          <w:sz w:val="32"/>
          <w:szCs w:val="32"/>
        </w:rPr>
        <w:t>（一）定标委员会未按定标</w:t>
      </w:r>
      <w:r>
        <w:rPr>
          <w:rFonts w:hint="eastAsia" w:eastAsia="方正仿宋_GBK"/>
          <w:sz w:val="32"/>
          <w:szCs w:val="32"/>
        </w:rPr>
        <w:t>方法</w:t>
      </w:r>
      <w:r>
        <w:rPr>
          <w:rFonts w:eastAsia="方正仿宋_GBK"/>
          <w:sz w:val="32"/>
          <w:szCs w:val="32"/>
        </w:rPr>
        <w:t>公正履职的；</w:t>
      </w:r>
    </w:p>
    <w:p w14:paraId="7564B6F6">
      <w:pPr>
        <w:keepNext w:val="0"/>
        <w:keepLines w:val="0"/>
        <w:pageBreakBefore w:val="0"/>
        <w:widowControl w:val="0"/>
        <w:kinsoku/>
        <w:wordWrap/>
        <w:overflowPunct/>
        <w:topLinePunct w:val="0"/>
        <w:autoSpaceDE/>
        <w:autoSpaceDN/>
        <w:bidi w:val="0"/>
        <w:spacing w:line="580" w:lineRule="exact"/>
        <w:ind w:firstLine="640" w:firstLineChars="200"/>
        <w:textAlignment w:val="auto"/>
        <w:rPr>
          <w:rFonts w:eastAsia="方正仿宋_GBK"/>
          <w:sz w:val="32"/>
          <w:szCs w:val="32"/>
        </w:rPr>
      </w:pPr>
      <w:r>
        <w:rPr>
          <w:rFonts w:eastAsia="方正仿宋_GBK"/>
          <w:sz w:val="32"/>
          <w:szCs w:val="32"/>
        </w:rPr>
        <w:t>（二）定标委员会成员与中标候选人有利害关系且未申请回避的；</w:t>
      </w:r>
    </w:p>
    <w:p w14:paraId="43F90261">
      <w:pPr>
        <w:keepNext w:val="0"/>
        <w:keepLines w:val="0"/>
        <w:pageBreakBefore w:val="0"/>
        <w:widowControl w:val="0"/>
        <w:kinsoku/>
        <w:wordWrap/>
        <w:overflowPunct/>
        <w:topLinePunct w:val="0"/>
        <w:autoSpaceDE/>
        <w:autoSpaceDN/>
        <w:bidi w:val="0"/>
        <w:spacing w:line="580" w:lineRule="exact"/>
        <w:ind w:firstLine="640" w:firstLineChars="200"/>
        <w:textAlignment w:val="auto"/>
        <w:rPr>
          <w:rFonts w:eastAsia="方正仿宋_GBK"/>
          <w:sz w:val="32"/>
          <w:szCs w:val="32"/>
        </w:rPr>
      </w:pPr>
      <w:r>
        <w:rPr>
          <w:rFonts w:eastAsia="方正仿宋_GBK"/>
          <w:sz w:val="32"/>
          <w:szCs w:val="32"/>
        </w:rPr>
        <w:t>（三）招标文件规定的其他情形。</w:t>
      </w:r>
    </w:p>
    <w:p w14:paraId="3756A0D3">
      <w:pPr>
        <w:keepNext w:val="0"/>
        <w:keepLines w:val="0"/>
        <w:pageBreakBefore w:val="0"/>
        <w:widowControl w:val="0"/>
        <w:kinsoku/>
        <w:wordWrap/>
        <w:overflowPunct/>
        <w:topLinePunct w:val="0"/>
        <w:autoSpaceDE/>
        <w:autoSpaceDN/>
        <w:bidi w:val="0"/>
        <w:spacing w:line="580" w:lineRule="exact"/>
        <w:ind w:firstLine="640" w:firstLineChars="200"/>
        <w:textAlignment w:val="auto"/>
        <w:rPr>
          <w:rFonts w:ascii="黑体" w:hAnsi="黑体" w:eastAsia="黑体"/>
          <w:sz w:val="32"/>
          <w:szCs w:val="32"/>
        </w:rPr>
      </w:pPr>
    </w:p>
    <w:p w14:paraId="74D3926B">
      <w:pPr>
        <w:pStyle w:val="8"/>
        <w:keepNext w:val="0"/>
        <w:keepLines w:val="0"/>
        <w:pageBreakBefore w:val="0"/>
        <w:widowControl w:val="0"/>
        <w:kinsoku/>
        <w:wordWrap/>
        <w:overflowPunct/>
        <w:topLinePunct w:val="0"/>
        <w:autoSpaceDE/>
        <w:autoSpaceDN/>
        <w:bidi w:val="0"/>
        <w:adjustRightInd w:val="0"/>
        <w:snapToGrid w:val="0"/>
        <w:spacing w:after="0" w:line="580" w:lineRule="exact"/>
        <w:jc w:val="center"/>
        <w:textAlignment w:val="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第四章  组织保障</w:t>
      </w:r>
    </w:p>
    <w:p w14:paraId="10EE3DA8">
      <w:pPr>
        <w:keepNext w:val="0"/>
        <w:keepLines w:val="0"/>
        <w:pageBreakBefore w:val="0"/>
        <w:widowControl w:val="0"/>
        <w:kinsoku/>
        <w:wordWrap/>
        <w:overflowPunct/>
        <w:topLinePunct w:val="0"/>
        <w:autoSpaceDE/>
        <w:autoSpaceDN/>
        <w:bidi w:val="0"/>
        <w:spacing w:line="580" w:lineRule="exact"/>
        <w:ind w:firstLine="640" w:firstLineChars="200"/>
        <w:textAlignment w:val="auto"/>
        <w:rPr>
          <w:rFonts w:eastAsia="方正仿宋_GBK"/>
          <w:sz w:val="32"/>
          <w:szCs w:val="32"/>
        </w:rPr>
      </w:pPr>
      <w:r>
        <w:rPr>
          <w:rFonts w:hint="eastAsia" w:ascii="方正黑体_GBK" w:hAnsi="方正黑体_GBK" w:eastAsia="方正黑体_GBK" w:cs="方正黑体_GBK"/>
          <w:sz w:val="32"/>
          <w:szCs w:val="32"/>
        </w:rPr>
        <w:t>第十六条</w:t>
      </w:r>
      <w:r>
        <w:rPr>
          <w:rFonts w:hint="eastAsia" w:ascii="黑体" w:hAnsi="黑体" w:eastAsia="黑体"/>
          <w:sz w:val="32"/>
          <w:szCs w:val="32"/>
        </w:rPr>
        <w:t xml:space="preserve">  </w:t>
      </w:r>
      <w:r>
        <w:rPr>
          <w:rFonts w:hint="eastAsia" w:eastAsia="方正仿宋_GBK"/>
          <w:sz w:val="32"/>
          <w:szCs w:val="32"/>
        </w:rPr>
        <w:t>招标人应当履行主体责任，建立完善内控制度，将“评定分离”纳入本单位“三重一大”审议事项范围，做好解析定标规则、组建定标委员会、收集整理定标资料、管理定标档案等相关工作，并对招标和定标过程及结果负责。</w:t>
      </w:r>
    </w:p>
    <w:p w14:paraId="7E8ADF53">
      <w:pPr>
        <w:keepNext w:val="0"/>
        <w:keepLines w:val="0"/>
        <w:pageBreakBefore w:val="0"/>
        <w:widowControl w:val="0"/>
        <w:kinsoku/>
        <w:wordWrap/>
        <w:overflowPunct/>
        <w:topLinePunct w:val="0"/>
        <w:autoSpaceDE/>
        <w:autoSpaceDN/>
        <w:bidi w:val="0"/>
        <w:spacing w:line="580" w:lineRule="exact"/>
        <w:ind w:firstLine="640" w:firstLineChars="200"/>
        <w:textAlignment w:val="auto"/>
        <w:rPr>
          <w:rFonts w:eastAsia="方正仿宋_GBK"/>
          <w:sz w:val="32"/>
          <w:szCs w:val="32"/>
        </w:rPr>
      </w:pPr>
      <w:r>
        <w:rPr>
          <w:rFonts w:hint="eastAsia" w:ascii="方正黑体_GBK" w:hAnsi="方正黑体_GBK" w:eastAsia="方正黑体_GBK" w:cs="方正黑体_GBK"/>
          <w:sz w:val="32"/>
          <w:szCs w:val="32"/>
        </w:rPr>
        <w:t xml:space="preserve">第十七条 </w:t>
      </w:r>
      <w:r>
        <w:rPr>
          <w:rFonts w:hint="eastAsia" w:ascii="黑体" w:hAnsi="黑体" w:eastAsia="黑体"/>
          <w:sz w:val="32"/>
          <w:szCs w:val="32"/>
        </w:rPr>
        <w:t xml:space="preserve"> </w:t>
      </w:r>
      <w:r>
        <w:rPr>
          <w:rFonts w:hint="eastAsia" w:eastAsia="方正仿宋_GBK"/>
          <w:sz w:val="32"/>
          <w:szCs w:val="32"/>
        </w:rPr>
        <w:t>定标委员会成员应当客观公正履行职责，遵守职业道德，保守秘密，对所提出的定标意见承担责任。定标委员会成员在定标期间不得私下接触投标人，不得收受投标人、中介机构、其他利害关系人的财物或者好处。</w:t>
      </w:r>
    </w:p>
    <w:p w14:paraId="116EAFA1">
      <w:pPr>
        <w:keepNext w:val="0"/>
        <w:keepLines w:val="0"/>
        <w:pageBreakBefore w:val="0"/>
        <w:widowControl w:val="0"/>
        <w:kinsoku/>
        <w:wordWrap/>
        <w:overflowPunct/>
        <w:topLinePunct w:val="0"/>
        <w:autoSpaceDE/>
        <w:autoSpaceDN/>
        <w:bidi w:val="0"/>
        <w:spacing w:line="580" w:lineRule="exact"/>
        <w:ind w:firstLine="640" w:firstLineChars="200"/>
        <w:textAlignment w:val="auto"/>
        <w:rPr>
          <w:rFonts w:ascii="黑体" w:hAnsi="黑体" w:eastAsia="黑体"/>
          <w:sz w:val="32"/>
          <w:szCs w:val="32"/>
        </w:rPr>
      </w:pPr>
      <w:r>
        <w:rPr>
          <w:rFonts w:hint="eastAsia" w:ascii="方正黑体_GBK" w:hAnsi="方正黑体_GBK" w:eastAsia="方正黑体_GBK" w:cs="方正黑体_GBK"/>
          <w:sz w:val="32"/>
          <w:szCs w:val="32"/>
        </w:rPr>
        <w:t>第十八条</w:t>
      </w:r>
      <w:r>
        <w:rPr>
          <w:rFonts w:hint="eastAsia" w:ascii="黑体" w:hAnsi="黑体" w:eastAsia="黑体"/>
          <w:sz w:val="32"/>
          <w:szCs w:val="32"/>
        </w:rPr>
        <w:t xml:space="preserve">  </w:t>
      </w:r>
      <w:r>
        <w:rPr>
          <w:rFonts w:hint="eastAsia" w:eastAsia="方正仿宋_GBK"/>
          <w:sz w:val="32"/>
          <w:szCs w:val="32"/>
        </w:rPr>
        <w:t>公共资源交易综合管理</w:t>
      </w:r>
      <w:r>
        <w:rPr>
          <w:rFonts w:eastAsia="方正仿宋_GBK"/>
          <w:sz w:val="32"/>
          <w:szCs w:val="32"/>
        </w:rPr>
        <w:t>部门</w:t>
      </w:r>
      <w:r>
        <w:rPr>
          <w:rFonts w:hint="eastAsia" w:eastAsia="方正仿宋_GBK"/>
          <w:sz w:val="32"/>
          <w:szCs w:val="32"/>
        </w:rPr>
        <w:t>、行业监督</w:t>
      </w:r>
      <w:r>
        <w:rPr>
          <w:rFonts w:eastAsia="方正仿宋_GBK"/>
          <w:sz w:val="32"/>
          <w:szCs w:val="32"/>
        </w:rPr>
        <w:t>部门</w:t>
      </w:r>
      <w:r>
        <w:rPr>
          <w:rFonts w:hint="eastAsia" w:eastAsia="方正仿宋_GBK"/>
          <w:sz w:val="32"/>
          <w:szCs w:val="32"/>
        </w:rPr>
        <w:t>、招标人所在</w:t>
      </w:r>
      <w:r>
        <w:rPr>
          <w:rFonts w:eastAsia="方正仿宋_GBK"/>
          <w:sz w:val="32"/>
          <w:szCs w:val="32"/>
        </w:rPr>
        <w:t>纪检监察部门等</w:t>
      </w:r>
      <w:r>
        <w:rPr>
          <w:rFonts w:hint="eastAsia" w:eastAsia="方正仿宋_GBK"/>
          <w:sz w:val="32"/>
          <w:szCs w:val="32"/>
        </w:rPr>
        <w:t>按照职责分工，对</w:t>
      </w:r>
      <w:r>
        <w:rPr>
          <w:rFonts w:hint="eastAsia" w:ascii="方正仿宋_GBK" w:eastAsia="方正仿宋_GBK"/>
          <w:sz w:val="32"/>
          <w:szCs w:val="32"/>
        </w:rPr>
        <w:t>采用“评定分离”方式招标的工程建设项目</w:t>
      </w:r>
      <w:r>
        <w:rPr>
          <w:rFonts w:hint="eastAsia" w:eastAsia="方正仿宋_GBK"/>
          <w:sz w:val="32"/>
          <w:szCs w:val="32"/>
        </w:rPr>
        <w:t>实施监督。</w:t>
      </w:r>
    </w:p>
    <w:p w14:paraId="257FEAA5">
      <w:pPr>
        <w:keepNext w:val="0"/>
        <w:keepLines w:val="0"/>
        <w:pageBreakBefore w:val="0"/>
        <w:widowControl w:val="0"/>
        <w:kinsoku/>
        <w:wordWrap/>
        <w:overflowPunct/>
        <w:topLinePunct w:val="0"/>
        <w:autoSpaceDE/>
        <w:autoSpaceDN/>
        <w:bidi w:val="0"/>
        <w:spacing w:line="580" w:lineRule="exact"/>
        <w:ind w:firstLine="640" w:firstLineChars="200"/>
        <w:textAlignment w:val="auto"/>
        <w:rPr>
          <w:rFonts w:ascii="黑体" w:hAnsi="黑体" w:eastAsia="黑体"/>
          <w:sz w:val="32"/>
          <w:szCs w:val="32"/>
        </w:rPr>
      </w:pPr>
    </w:p>
    <w:p w14:paraId="4AFBB9F4">
      <w:pPr>
        <w:pStyle w:val="8"/>
        <w:keepNext w:val="0"/>
        <w:keepLines w:val="0"/>
        <w:pageBreakBefore w:val="0"/>
        <w:widowControl w:val="0"/>
        <w:kinsoku/>
        <w:wordWrap/>
        <w:overflowPunct/>
        <w:topLinePunct w:val="0"/>
        <w:autoSpaceDE/>
        <w:autoSpaceDN/>
        <w:bidi w:val="0"/>
        <w:adjustRightInd w:val="0"/>
        <w:snapToGrid w:val="0"/>
        <w:spacing w:after="0" w:line="580" w:lineRule="exact"/>
        <w:jc w:val="center"/>
        <w:textAlignment w:val="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第五章  附  则</w:t>
      </w:r>
    </w:p>
    <w:p w14:paraId="173C480F">
      <w:pPr>
        <w:keepNext w:val="0"/>
        <w:keepLines w:val="0"/>
        <w:pageBreakBefore w:val="0"/>
        <w:widowControl w:val="0"/>
        <w:kinsoku/>
        <w:wordWrap/>
        <w:overflowPunct/>
        <w:topLinePunct w:val="0"/>
        <w:autoSpaceDE/>
        <w:autoSpaceDN/>
        <w:bidi w:val="0"/>
        <w:spacing w:line="580" w:lineRule="exact"/>
        <w:ind w:firstLine="640" w:firstLineChars="200"/>
        <w:textAlignment w:val="auto"/>
        <w:rPr>
          <w:rFonts w:eastAsia="方正仿宋_GBK"/>
          <w:sz w:val="32"/>
          <w:szCs w:val="32"/>
        </w:rPr>
      </w:pPr>
      <w:r>
        <w:rPr>
          <w:rFonts w:hint="eastAsia" w:ascii="方正黑体_GBK" w:hAnsi="方正黑体_GBK" w:eastAsia="方正黑体_GBK" w:cs="方正黑体_GBK"/>
          <w:sz w:val="32"/>
          <w:szCs w:val="32"/>
        </w:rPr>
        <w:t>第十九条</w:t>
      </w:r>
      <w:r>
        <w:rPr>
          <w:rFonts w:hint="eastAsia" w:eastAsia="方正仿宋_GBK"/>
          <w:sz w:val="32"/>
          <w:szCs w:val="32"/>
        </w:rPr>
        <w:t xml:space="preserve">  本办法自</w:t>
      </w:r>
      <w:r>
        <w:rPr>
          <w:rFonts w:ascii="Times New Roman" w:hAnsi="Times New Roman" w:eastAsia="方正仿宋_GBK"/>
          <w:sz w:val="32"/>
          <w:szCs w:val="32"/>
        </w:rPr>
        <w:t>202</w:t>
      </w:r>
      <w:r>
        <w:rPr>
          <w:rFonts w:hint="eastAsia" w:ascii="Times New Roman" w:hAnsi="Times New Roman" w:eastAsia="方正仿宋_GBK"/>
          <w:sz w:val="32"/>
          <w:szCs w:val="32"/>
        </w:rPr>
        <w:t>6</w:t>
      </w:r>
      <w:r>
        <w:rPr>
          <w:rFonts w:hint="eastAsia" w:eastAsia="方正仿宋_GBK"/>
          <w:sz w:val="32"/>
          <w:szCs w:val="32"/>
        </w:rPr>
        <w:t>年</w:t>
      </w:r>
      <w:r>
        <w:rPr>
          <w:rFonts w:ascii="Times New Roman" w:hAnsi="Times New Roman" w:eastAsia="方正仿宋_GBK"/>
          <w:sz w:val="32"/>
          <w:szCs w:val="32"/>
        </w:rPr>
        <w:t>1</w:t>
      </w:r>
      <w:r>
        <w:rPr>
          <w:rFonts w:hint="eastAsia" w:eastAsia="方正仿宋_GBK"/>
          <w:sz w:val="32"/>
          <w:szCs w:val="32"/>
        </w:rPr>
        <w:t>月</w:t>
      </w:r>
      <w:r>
        <w:rPr>
          <w:rFonts w:hint="eastAsia" w:ascii="Times New Roman" w:hAnsi="Times New Roman" w:eastAsia="方正仿宋_GBK"/>
          <w:sz w:val="32"/>
          <w:szCs w:val="32"/>
        </w:rPr>
        <w:t>1</w:t>
      </w:r>
      <w:r>
        <w:rPr>
          <w:rFonts w:hint="eastAsia" w:eastAsia="方正仿宋_GBK"/>
          <w:sz w:val="32"/>
          <w:szCs w:val="32"/>
        </w:rPr>
        <w:t>日起施行，有效期两年。此前我市有关规定与本办法不一致的，以本办法为准。</w:t>
      </w:r>
    </w:p>
    <w:p w14:paraId="0A911176">
      <w:pPr>
        <w:keepNext w:val="0"/>
        <w:keepLines w:val="0"/>
        <w:pageBreakBefore w:val="0"/>
        <w:widowControl w:val="0"/>
        <w:kinsoku/>
        <w:wordWrap/>
        <w:overflowPunct/>
        <w:topLinePunct w:val="0"/>
        <w:autoSpaceDE/>
        <w:autoSpaceDN/>
        <w:bidi w:val="0"/>
        <w:spacing w:line="580" w:lineRule="exact"/>
        <w:ind w:firstLine="640" w:firstLineChars="200"/>
        <w:textAlignment w:val="auto"/>
        <w:rPr>
          <w:rFonts w:eastAsia="方正仿宋_GBK"/>
          <w:sz w:val="32"/>
          <w:szCs w:val="32"/>
        </w:rPr>
      </w:pPr>
      <w:r>
        <w:rPr>
          <w:rFonts w:eastAsia="方正仿宋_GBK"/>
          <w:sz w:val="32"/>
          <w:szCs w:val="32"/>
        </w:rPr>
        <w:t>法律、法规、规章及上级政策文件对</w:t>
      </w:r>
      <w:r>
        <w:rPr>
          <w:rFonts w:hint="eastAsia" w:eastAsia="方正仿宋_GBK"/>
          <w:sz w:val="32"/>
          <w:szCs w:val="32"/>
        </w:rPr>
        <w:t>“评定分离”</w:t>
      </w:r>
      <w:r>
        <w:rPr>
          <w:rFonts w:eastAsia="方正仿宋_GBK"/>
          <w:sz w:val="32"/>
          <w:szCs w:val="32"/>
        </w:rPr>
        <w:t>另有规定的，从其规定。</w:t>
      </w:r>
    </w:p>
    <w:p w14:paraId="70B45B86">
      <w:pPr>
        <w:keepNext w:val="0"/>
        <w:keepLines w:val="0"/>
        <w:pageBreakBefore w:val="0"/>
        <w:widowControl w:val="0"/>
        <w:kinsoku/>
        <w:wordWrap/>
        <w:overflowPunct/>
        <w:topLinePunct w:val="0"/>
        <w:autoSpaceDE/>
        <w:autoSpaceDN/>
        <w:bidi w:val="0"/>
        <w:spacing w:line="600" w:lineRule="exact"/>
        <w:textAlignment w:val="auto"/>
      </w:pPr>
    </w:p>
    <w:p w14:paraId="4276CA7E">
      <w:pPr>
        <w:pStyle w:val="2"/>
      </w:pPr>
    </w:p>
    <w:p w14:paraId="55174484"/>
    <w:p w14:paraId="5DF450BE">
      <w:pPr>
        <w:pStyle w:val="2"/>
      </w:pPr>
    </w:p>
    <w:p w14:paraId="231BF01B"/>
    <w:p w14:paraId="244A875E">
      <w:pPr>
        <w:pStyle w:val="8"/>
        <w:spacing w:before="0" w:beforeAutospacing="0" w:after="0" w:afterAutospacing="0" w:line="600" w:lineRule="exact"/>
        <w:ind w:left="0" w:leftChars="0" w:right="-734" w:firstLine="420" w:firstLineChars="150"/>
        <w:jc w:val="both"/>
        <w:rPr>
          <w:rFonts w:hint="default" w:ascii="Times New Roman" w:hAnsi="Times New Roman" w:cs="Times New Roman"/>
          <w:sz w:val="28"/>
          <w:szCs w:val="28"/>
        </w:rPr>
      </w:pPr>
      <w:r>
        <w:rPr>
          <w:rFonts w:hint="eastAsia" w:ascii="Times New Roman" w:hAnsi="Times New Roman" w:eastAsia="方正仿宋_GBK"/>
          <w:color w:val="000000"/>
          <w:spacing w:val="0"/>
          <w:sz w:val="28"/>
          <w:szCs w:val="28"/>
          <w:lang w:val="en-US" w:eastAsia="zh-CN"/>
        </w:rPr>
        <w:t>BZG-2025-01-05</w:t>
      </w:r>
    </w:p>
    <w:p w14:paraId="17A34FBD">
      <w:pPr>
        <w:pStyle w:val="8"/>
        <w:spacing w:before="0" w:beforeAutospacing="0" w:after="0" w:afterAutospacing="0" w:line="600" w:lineRule="exact"/>
        <w:ind w:right="-734" w:firstLine="320" w:firstLineChars="100"/>
        <w:jc w:val="both"/>
        <w:rPr>
          <w:rFonts w:hint="default" w:ascii="Times New Roman" w:hAnsi="Times New Roman" w:eastAsia="方正仿宋_GBK" w:cs="Times New Roman"/>
          <w:sz w:val="32"/>
          <w:szCs w:val="32"/>
        </w:rPr>
      </w:pPr>
    </w:p>
    <w:sectPr>
      <w:headerReference r:id="rId3" w:type="default"/>
      <w:footerReference r:id="rId4" w:type="default"/>
      <w:pgSz w:w="11906" w:h="16838"/>
      <w:pgMar w:top="1962" w:right="1474" w:bottom="1848" w:left="1587" w:header="851" w:footer="992" w:gutter="0"/>
      <w:pgNumType w:fmt="numberInDash"/>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方正仿宋简体">
    <w:altName w:val="方正仿宋_GBK"/>
    <w:panose1 w:val="03000509000000000000"/>
    <w:charset w:val="86"/>
    <w:family w:val="auto"/>
    <w:pitch w:val="default"/>
    <w:sig w:usb0="00000000" w:usb1="0000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国标仿宋">
    <w:altName w:val="方正仿宋_GBK"/>
    <w:panose1 w:val="02000500000000000000"/>
    <w:charset w:val="00"/>
    <w:family w:val="auto"/>
    <w:pitch w:val="default"/>
    <w:sig w:usb0="00000000" w:usb1="00000000" w:usb2="00000016" w:usb3="00000000" w:csb0="00060007" w:csb1="00000000"/>
  </w:font>
  <w:font w:name="国标楷体">
    <w:altName w:val="方正楷体_GBK"/>
    <w:panose1 w:val="02000500000000000000"/>
    <w:charset w:val="00"/>
    <w:family w:val="auto"/>
    <w:pitch w:val="default"/>
    <w:sig w:usb0="00000000" w:usb1="00000000" w:usb2="00000000" w:usb3="00000000" w:csb0="00060007" w:csb1="00000000"/>
  </w:font>
  <w:font w:name="方正楷体_GBK">
    <w:panose1 w:val="03000509000000000000"/>
    <w:charset w:val="86"/>
    <w:family w:val="auto"/>
    <w:pitch w:val="default"/>
    <w:sig w:usb0="00000001" w:usb1="080E0000" w:usb2="00000000" w:usb3="00000000" w:csb0="00040000" w:csb1="00000000"/>
  </w:font>
  <w:font w:name="国标黑体">
    <w:altName w:val="方正黑体_GBK"/>
    <w:panose1 w:val="020005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1A56A1">
    <w:pPr>
      <w:pStyle w:val="7"/>
      <w:ind w:left="4788"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FA83FDE">
                          <w:pPr>
                            <w:pStyle w:val="6"/>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R89qo3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AUfPaqNwIAAG8EAAAOAAAAAAAAAAEAIAAAAB8BAABkcnMvZTJvRG9jLnht&#10;bFBLBQYAAAAABgAGAFkBAADIBQAAAAA=&#10;">
              <v:fill on="f" focussize="0,0"/>
              <v:stroke on="f" weight="0.5pt"/>
              <v:imagedata o:title=""/>
              <o:lock v:ext="edit" aspectratio="f"/>
              <v:textbox inset="0mm,0mm,0mm,0mm" style="mso-fit-shape-to-text:t;">
                <w:txbxContent>
                  <w:p w14:paraId="6FA83FDE">
                    <w:pPr>
                      <w:pStyle w:val="6"/>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14:paraId="2B450242">
    <w:pPr>
      <w:pStyle w:val="7"/>
      <w:wordWrap w:val="0"/>
      <w:ind w:left="4788" w:leftChars="2280" w:firstLine="6400" w:firstLineChars="2000"/>
      <w:jc w:val="right"/>
      <w:rPr>
        <w:rFonts w:hint="eastAsia" w:ascii="宋体" w:hAnsi="宋体" w:eastAsia="宋体" w:cs="宋体"/>
        <w:b/>
        <w:bCs/>
        <w:color w:val="005192"/>
        <w:sz w:val="28"/>
        <w:szCs w:val="44"/>
        <w:lang w:val="en-US" w:eastAsia="zh-CN"/>
      </w:rPr>
    </w:pPr>
    <w:r>
      <w:rPr>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noFill/>
                      <a:ln w="22225" cap="flat" cmpd="sng" algn="ctr">
                        <a:solidFill>
                          <a:srgbClr val="005192"/>
                        </a:solidFill>
                        <a:prstDash val="solid"/>
                        <a:miter lim="800000"/>
                      </a:ln>
                      <a:effectLst/>
                    </wps:spPr>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Dz&#10;p6XR1AAAAAYBAAAPAAAAAAAAAAEAIAAAACIAAABkcnMvZG93bnJldi54bWxQSwECFAAUAAAACACH&#10;TuJAB6gkL+8BAADDAwAADgAAAAAAAAABACAAAAAjAQAAZHJzL2Uyb0RvYy54bWxQSwUGAAAAAAYA&#10;BgBZAQAAhAUAAAAA&#10;">
              <v:fill on="f" focussize="0,0"/>
              <v:stroke weight="1.75pt" color="#005192" miterlimit="8" joinstyle="miter"/>
              <v:imagedata o:title=""/>
              <o:lock v:ext="edit" aspectratio="f"/>
            </v:line>
          </w:pict>
        </mc:Fallback>
      </mc:AlternateContent>
    </w:r>
    <w:r>
      <w:rPr>
        <w:rFonts w:hint="eastAsia" w:eastAsia="仿宋"/>
        <w:color w:val="FAFAFA"/>
        <w:sz w:val="32"/>
        <w:szCs w:val="48"/>
        <w:lang w:val="en-US" w:eastAsia="zh-CN"/>
      </w:rPr>
      <w:t>X</w:t>
    </w:r>
    <w:r>
      <w:rPr>
        <w:rFonts w:hint="eastAsia" w:ascii="宋体" w:hAnsi="宋体" w:eastAsia="宋体" w:cs="宋体"/>
        <w:b/>
        <w:bCs/>
        <w:color w:val="005192"/>
        <w:sz w:val="28"/>
        <w:szCs w:val="28"/>
        <w:lang w:val="en-US" w:eastAsia="zh-CN"/>
      </w:rPr>
      <w:t>亳州市人民政府办公室发布</w:t>
    </w:r>
    <w:r>
      <w:rPr>
        <w:rFonts w:hint="eastAsia" w:ascii="宋体" w:hAnsi="宋体" w:eastAsia="宋体" w:cs="宋体"/>
        <w:b/>
        <w:bCs/>
        <w:color w:val="005192"/>
        <w:sz w:val="32"/>
        <w:szCs w:val="32"/>
        <w:lang w:val="en-US" w:eastAsia="zh-CN"/>
      </w:rPr>
      <w:t xml:space="preserve"> </w:t>
    </w:r>
    <w:r>
      <w:rPr>
        <w:rFonts w:hint="eastAsia" w:ascii="宋体" w:hAnsi="宋体" w:eastAsia="宋体" w:cs="宋体"/>
        <w:b/>
        <w:bCs/>
        <w:color w:val="005192"/>
        <w:sz w:val="28"/>
        <w:szCs w:val="44"/>
        <w:lang w:val="en-US" w:eastAsia="zh-CN"/>
      </w:rPr>
      <w:t xml:space="preserve">   </w:t>
    </w:r>
  </w:p>
  <w:p w14:paraId="6A41ED1B">
    <w:pPr>
      <w:pStyle w:val="7"/>
      <w:wordWrap w:val="0"/>
      <w:ind w:left="4788" w:leftChars="2280" w:firstLine="5622"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9BF219">
    <w:pPr>
      <w:pStyle w:val="7"/>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0795" r="18415" b="17780"/>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noFill/>
                      <a:ln w="22225" cap="flat" cmpd="sng" algn="ctr">
                        <a:solidFill>
                          <a:srgbClr val="005192"/>
                        </a:solidFill>
                        <a:prstDash val="solid"/>
                        <a:miter lim="800000"/>
                      </a:ln>
                      <a:effectLst/>
                    </wps:spPr>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pSLLs/cBAADLAwAADgAAAGRycy9lMm9Eb2MueG1srVNNjtMw&#10;FN4jcQfLe5o005YSNZ3FVMMGQSXgAK5jJ5b8Jz9P016CCyCxgxVL9tyG4Rg8O2EY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74g+EDxJfCGZKChmplE31Ws+MriNgXS3+XpGXrrpXW+Qq1JUNDK/wSNENfSvQD&#10;hsYjN7AdJUx3aHgeQ4YEp1WbticgCN3hSgdyZMkm5XL+okqksd1fZan3jkE/1uXUaCCjIr4JrQxy&#10;LtM37dY2oYvsw4lBEnKULkUH156zokWa4R3nppMfk4nuzzG+/wa3vwB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DUR0DW1QAAAAkBAAAPAAAAAAAAAAEAIAAAACIAAABkcnMvZG93bnJldi54bWxQSwEC&#10;FAAUAAAACACHTuJApSLLs/cBAADLAwAADgAAAAAAAAABACAAAAAkAQAAZHJzL2Uyb0RvYy54bWxQ&#10;SwUGAAAAAAYABgBZAQAAjQUAAAAA&#10;">
              <v:fill on="f" focussize="0,0"/>
              <v:stroke weight="1.75pt" color="#005192" miterlimit="8" joinstyle="miter"/>
              <v:imagedata o:title=""/>
              <o:lock v:ext="edit" aspectratio="f"/>
            </v:line>
          </w:pict>
        </mc:Fallback>
      </mc:AlternateContent>
    </w:r>
  </w:p>
  <w:p w14:paraId="703C319F">
    <w:pPr>
      <w:pStyle w:val="7"/>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eastAsia="宋体" w:cs="宋体"/>
        <w:b/>
        <w:bCs/>
        <w:color w:val="005192"/>
        <w:sz w:val="32"/>
      </w:rPr>
      <w:drawing>
        <wp:inline distT="0" distB="0" distL="114300" distR="114300">
          <wp:extent cx="308610" cy="308610"/>
          <wp:effectExtent l="0" t="0" r="15240" b="15240"/>
          <wp:docPr id="1" name="图片 1"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国徽1024"/>
                  <pic:cNvPicPr>
                    <a:picLocks noChangeAspect="1"/>
                  </pic:cNvPicPr>
                </pic:nvPicPr>
                <pic:blipFill>
                  <a:blip r:embed="rId1"/>
                  <a:stretch>
                    <a:fillRect/>
                  </a:stretch>
                </pic:blipFill>
                <pic:spPr>
                  <a:xfrm>
                    <a:off x="0" y="0"/>
                    <a:ext cx="308610" cy="308610"/>
                  </a:xfrm>
                  <a:prstGeom prst="rect">
                    <a:avLst/>
                  </a:prstGeom>
                  <a:noFill/>
                  <a:ln>
                    <a:noFill/>
                  </a:ln>
                </pic:spPr>
              </pic:pic>
            </a:graphicData>
          </a:graphic>
        </wp:inline>
      </w:drawing>
    </w:r>
    <w:r>
      <w:rPr>
        <w:rFonts w:hint="eastAsia" w:ascii="宋体" w:hAnsi="宋体" w:eastAsia="宋体" w:cs="宋体"/>
        <w:b/>
        <w:bCs/>
        <w:color w:val="005192"/>
        <w:sz w:val="32"/>
        <w:lang w:val="en-US" w:eastAsia="zh-CN"/>
      </w:rPr>
      <w:t>亳州市人民政府行政</w:t>
    </w:r>
    <w:r>
      <w:rPr>
        <w:rFonts w:hint="eastAsia" w:ascii="宋体" w:hAnsi="宋体" w:eastAsia="宋体" w:cs="宋体"/>
        <w:b/>
        <w:bCs/>
        <w:color w:val="005192"/>
        <w:sz w:val="32"/>
        <w:szCs w:val="32"/>
        <w:lang w:val="en-US" w:eastAsia="zh-CN"/>
      </w:rPr>
      <w:t>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cyNjc3YWM5NGYyODYxNDE1ODhkZTI5ZTViNmNkZDAifQ=="/>
  </w:docVars>
  <w:rsids>
    <w:rsidRoot w:val="00172A27"/>
    <w:rsid w:val="02F6538B"/>
    <w:rsid w:val="2B435A3D"/>
    <w:rsid w:val="378D688D"/>
    <w:rsid w:val="3868100C"/>
    <w:rsid w:val="47F343E9"/>
    <w:rsid w:val="4A161F6E"/>
    <w:rsid w:val="4D0F6EC5"/>
    <w:rsid w:val="55FB3DAD"/>
    <w:rsid w:val="5FF626F2"/>
    <w:rsid w:val="7129478D"/>
    <w:rsid w:val="72775C72"/>
    <w:rsid w:val="728C5ACB"/>
    <w:rsid w:val="7B281C4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Indent 2"/>
    <w:basedOn w:val="1"/>
    <w:next w:val="1"/>
    <w:qFormat/>
    <w:uiPriority w:val="0"/>
    <w:pPr>
      <w:spacing w:afterLines="0" w:line="580" w:lineRule="exact"/>
      <w:ind w:left="0" w:leftChars="0" w:firstLine="840" w:firstLineChars="200"/>
    </w:pPr>
    <w:rPr>
      <w:rFonts w:ascii="Times New Roman" w:hAnsi="Times New Roman" w:eastAsia="仿宋_GB2312"/>
      <w:sz w:val="30"/>
    </w:rPr>
  </w:style>
  <w:style w:type="paragraph" w:styleId="4">
    <w:name w:val="Normal Indent"/>
    <w:basedOn w:val="1"/>
    <w:qFormat/>
    <w:uiPriority w:val="0"/>
    <w:pPr>
      <w:ind w:firstLine="420" w:firstLineChars="200"/>
    </w:pPr>
  </w:style>
  <w:style w:type="paragraph" w:styleId="5">
    <w:name w:val="annotation text"/>
    <w:basedOn w:val="1"/>
    <w:qFormat/>
    <w:uiPriority w:val="0"/>
    <w:pPr>
      <w:jc w:val="left"/>
    </w:p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Normal (Web)"/>
    <w:basedOn w:val="1"/>
    <w:qFormat/>
    <w:uiPriority w:val="0"/>
    <w:pPr>
      <w:spacing w:before="100" w:beforeAutospacing="1" w:after="100" w:afterAutospacing="1"/>
      <w:ind w:left="0" w:right="0"/>
      <w:jc w:val="left"/>
    </w:pPr>
    <w:rPr>
      <w:kern w:val="0"/>
      <w:sz w:val="24"/>
      <w:lang w:val="en-US" w:eastAsia="zh-CN" w:bidi="ar"/>
    </w:rPr>
  </w:style>
  <w:style w:type="table" w:styleId="10">
    <w:name w:val="Table Grid"/>
    <w:basedOn w:val="9"/>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page number"/>
    <w:basedOn w:val="11"/>
    <w:qFormat/>
    <w:uiPriority w:val="0"/>
  </w:style>
  <w:style w:type="paragraph" w:customStyle="1" w:styleId="13">
    <w:name w:val="仿宋正文"/>
    <w:basedOn w:val="1"/>
    <w:qFormat/>
    <w:uiPriority w:val="0"/>
    <w:pPr>
      <w:spacing w:line="600" w:lineRule="exact"/>
      <w:ind w:firstLine="420" w:firstLineChars="200"/>
    </w:pPr>
    <w:rPr>
      <w:rFonts w:eastAsia="方正仿宋简体"/>
      <w:szCs w:val="32"/>
    </w:rPr>
  </w:style>
  <w:style w:type="paragraph" w:customStyle="1" w:styleId="14">
    <w:name w:val="列出段落1"/>
    <w:basedOn w:val="1"/>
    <w:qFormat/>
    <w:uiPriority w:val="99"/>
    <w:pPr>
      <w:ind w:firstLine="420" w:firstLineChars="200"/>
    </w:pPr>
  </w:style>
  <w:style w:type="paragraph" w:customStyle="1" w:styleId="15">
    <w:name w:val="Char"/>
    <w:basedOn w:val="1"/>
    <w:qFormat/>
    <w:uiPriority w:val="0"/>
    <w:pPr>
      <w:spacing w:before="100" w:beforeLines="0" w:beforeAutospacing="1" w:after="100" w:afterLines="0" w:afterAutospacing="1"/>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7</Pages>
  <Words>3773</Words>
  <Characters>3810</Characters>
  <Lines>0</Lines>
  <Paragraphs>0</Paragraphs>
  <TotalTime>0</TotalTime>
  <ScaleCrop>false</ScaleCrop>
  <LinksUpToDate>false</LinksUpToDate>
  <CharactersWithSpaces>3846</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齐柏林</cp:lastModifiedBy>
  <dcterms:modified xsi:type="dcterms:W3CDTF">2026-04-02T02:27:58Z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0CC5289DDB6B45C597765B4264AB34A3_13</vt:lpwstr>
  </property>
  <property fmtid="{D5CDD505-2E9C-101B-9397-08002B2CF9AE}" pid="4" name="KSOTemplateDocerSaveRecord">
    <vt:lpwstr>eyJoZGlkIjoiMDcyNjc3YWM5NGYyODYxNDE1ODhkZTI5ZTViNmNkZDAiLCJ1c2VySWQiOiIxMTAzOTE2Mzk0In0=</vt:lpwstr>
  </property>
</Properties>
</file>