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2543CCF">
      <w:pPr>
        <w:keepNext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0" w:beforeLines="0" w:after="0" w:afterLines="0" w:line="600" w:lineRule="exact"/>
        <w:ind w:right="0" w:rightChars="0"/>
        <w:jc w:val="both"/>
        <w:textAlignment w:val="auto"/>
        <w:outlineLvl w:val="9"/>
        <w:rPr>
          <w:rFonts w:hint="default" w:ascii="Times New Roman" w:hAnsi="Times New Roman" w:eastAsia="方正仿宋_GBK" w:cs="Times New Roman"/>
          <w:color w:val="000000"/>
          <w:sz w:val="32"/>
          <w:szCs w:val="32"/>
          <w:lang w:eastAsia="zh-CN"/>
        </w:rPr>
      </w:pPr>
    </w:p>
    <w:p w14:paraId="2D4BA930"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/>
        <w:snapToGrid/>
        <w:spacing w:line="600" w:lineRule="exact"/>
        <w:textAlignment w:val="auto"/>
        <w:rPr>
          <w:rFonts w:hint="default" w:ascii="Times New Roman" w:hAnsi="Times New Roman" w:eastAsia="方正仿宋_GBK" w:cs="Times New Roman"/>
          <w:sz w:val="32"/>
          <w:szCs w:val="32"/>
        </w:rPr>
      </w:pPr>
    </w:p>
    <w:p w14:paraId="3B10E45A"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/>
        <w:snapToGrid/>
        <w:spacing w:line="590" w:lineRule="exact"/>
        <w:ind w:left="0" w:leftChars="0" w:right="0" w:rightChars="0" w:firstLine="0" w:firstLineChars="0"/>
        <w:jc w:val="center"/>
        <w:textAlignment w:val="auto"/>
        <w:rPr>
          <w:rFonts w:hint="eastAsia" w:ascii="方正小标宋_GBK" w:hAnsi="方正小标宋_GBK" w:eastAsia="方正小标宋_GBK" w:cs="方正小标宋_GBK"/>
          <w:sz w:val="44"/>
          <w:szCs w:val="44"/>
        </w:rPr>
      </w:pPr>
      <w:r>
        <w:rPr>
          <w:rFonts w:hint="eastAsia" w:ascii="方正小标宋_GBK" w:hAnsi="方正小标宋_GBK" w:eastAsia="方正小标宋_GBK" w:cs="方正小标宋_GBK"/>
          <w:sz w:val="44"/>
          <w:szCs w:val="44"/>
        </w:rPr>
        <w:t>亳州市人民政府关于印发</w:t>
      </w:r>
    </w:p>
    <w:p w14:paraId="73CC8341"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/>
        <w:snapToGrid/>
        <w:spacing w:line="590" w:lineRule="exact"/>
        <w:ind w:left="0" w:leftChars="0" w:right="0" w:rightChars="0" w:firstLine="0" w:firstLineChars="0"/>
        <w:jc w:val="center"/>
        <w:textAlignment w:val="auto"/>
        <w:rPr>
          <w:rFonts w:hint="eastAsia" w:ascii="方正小标宋_GBK" w:hAnsi="方正小标宋_GBK" w:eastAsia="方正小标宋_GBK" w:cs="方正小标宋_GBK"/>
          <w:sz w:val="44"/>
          <w:szCs w:val="44"/>
        </w:rPr>
      </w:pPr>
      <w:r>
        <w:rPr>
          <w:rFonts w:hint="eastAsia" w:ascii="方正小标宋_GBK" w:hAnsi="方正小标宋_GBK" w:eastAsia="方正小标宋_GBK" w:cs="方正小标宋_GBK"/>
          <w:sz w:val="44"/>
          <w:szCs w:val="44"/>
        </w:rPr>
        <w:t>亳州市支持中医药及大健康产业</w:t>
      </w:r>
    </w:p>
    <w:p w14:paraId="48B2E0BF"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/>
        <w:snapToGrid/>
        <w:spacing w:line="590" w:lineRule="exact"/>
        <w:ind w:left="0" w:leftChars="0" w:right="0" w:rightChars="0" w:firstLine="0" w:firstLineChars="0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_GBK" w:hAnsi="方正小标宋_GBK" w:eastAsia="方正小标宋_GBK" w:cs="方正小标宋_GBK"/>
          <w:sz w:val="44"/>
          <w:szCs w:val="44"/>
        </w:rPr>
        <w:t>高质量发展若干举措的通知</w:t>
      </w:r>
    </w:p>
    <w:p w14:paraId="71F0CE95"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jc w:val="center"/>
        <w:textAlignment w:val="auto"/>
        <w:rPr>
          <w:rFonts w:hint="eastAsia"/>
        </w:rPr>
      </w:pPr>
      <w:r>
        <w:rPr>
          <w:rFonts w:hint="default" w:ascii="Times New Roman" w:hAnsi="Times New Roman" w:eastAsia="方正仿宋_GBK" w:cs="Times New Roman"/>
          <w:sz w:val="32"/>
          <w:szCs w:val="32"/>
        </w:rPr>
        <w:t>亳政秘〔2026〕19号</w:t>
      </w:r>
    </w:p>
    <w:p w14:paraId="323C6276"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default" w:ascii="Times New Roman" w:hAnsi="Times New Roman" w:eastAsia="方正仿宋_GBK" w:cs="Times New Roman"/>
          <w:sz w:val="32"/>
          <w:szCs w:val="32"/>
        </w:rPr>
      </w:pPr>
    </w:p>
    <w:p w14:paraId="02947775"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/>
        <w:snapToGrid/>
        <w:spacing w:line="590" w:lineRule="atLeast"/>
        <w:textAlignment w:val="auto"/>
        <w:rPr>
          <w:rFonts w:hint="default" w:ascii="Times New Roman" w:hAnsi="Times New Roman" w:eastAsia="方正仿宋_GBK" w:cs="Times New Roman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sz w:val="32"/>
          <w:szCs w:val="32"/>
        </w:rPr>
        <w:t>各县、区人民政府，亳州高新区管委会、亳芜现代产业园区管委会，市政府各部门、各直属机构：</w:t>
      </w:r>
    </w:p>
    <w:p w14:paraId="3EAFC5BA"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/>
        <w:snapToGrid/>
        <w:spacing w:line="590" w:lineRule="atLeast"/>
        <w:ind w:firstLine="640" w:firstLineChars="200"/>
        <w:textAlignment w:val="auto"/>
        <w:rPr>
          <w:rFonts w:hint="default" w:ascii="Times New Roman" w:hAnsi="Times New Roman" w:eastAsia="方正仿宋_GBK" w:cs="Times New Roman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sz w:val="32"/>
          <w:szCs w:val="32"/>
        </w:rPr>
        <w:t>《亳州市支持中医药及大健康产业高质量发展若干举措》已经市政府研究同意，现印发给你们，请认真贯彻落实。</w:t>
      </w:r>
    </w:p>
    <w:p w14:paraId="0C63B81B"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/>
        <w:snapToGrid/>
        <w:spacing w:line="590" w:lineRule="atLeast"/>
        <w:ind w:firstLine="640" w:firstLineChars="200"/>
        <w:textAlignment w:val="auto"/>
        <w:rPr>
          <w:rFonts w:hint="default" w:ascii="Times New Roman" w:hAnsi="Times New Roman" w:eastAsia="方正仿宋_GBK" w:cs="Times New Roman"/>
          <w:sz w:val="32"/>
          <w:szCs w:val="32"/>
        </w:rPr>
      </w:pPr>
    </w:p>
    <w:p w14:paraId="4CEAA920"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/>
        <w:snapToGrid/>
        <w:spacing w:line="590" w:lineRule="atLeast"/>
        <w:ind w:firstLine="640" w:firstLineChars="200"/>
        <w:textAlignment w:val="auto"/>
        <w:rPr>
          <w:rFonts w:hint="default" w:ascii="Times New Roman" w:hAnsi="Times New Roman" w:eastAsia="方正仿宋_GBK" w:cs="Times New Roman"/>
          <w:sz w:val="32"/>
          <w:szCs w:val="32"/>
        </w:rPr>
      </w:pPr>
    </w:p>
    <w:p w14:paraId="0B7BA4A6"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/>
        <w:snapToGrid/>
        <w:spacing w:line="590" w:lineRule="atLeast"/>
        <w:ind w:right="840" w:rightChars="400"/>
        <w:jc w:val="right"/>
        <w:textAlignment w:val="auto"/>
        <w:rPr>
          <w:rFonts w:hint="eastAsia" w:ascii="Times New Roman" w:hAnsi="Times New Roman" w:eastAsia="方正仿宋_GBK" w:cs="Times New Roman"/>
          <w:sz w:val="32"/>
          <w:szCs w:val="32"/>
          <w:lang w:eastAsia="zh-CN"/>
        </w:rPr>
      </w:pPr>
      <w:r>
        <w:rPr>
          <w:rFonts w:hint="eastAsia" w:ascii="Times New Roman" w:hAnsi="Times New Roman" w:eastAsia="方正仿宋_GBK" w:cs="Times New Roman"/>
          <w:sz w:val="32"/>
          <w:szCs w:val="32"/>
          <w:lang w:eastAsia="zh-CN"/>
        </w:rPr>
        <w:t>亳州市人民政府</w:t>
      </w:r>
    </w:p>
    <w:p w14:paraId="19B46D25"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/>
        <w:snapToGrid/>
        <w:spacing w:line="590" w:lineRule="atLeast"/>
        <w:ind w:right="630" w:rightChars="300"/>
        <w:jc w:val="right"/>
        <w:textAlignment w:val="auto"/>
        <w:rPr>
          <w:rFonts w:hint="eastAsia" w:ascii="Times New Roman" w:hAnsi="Times New Roman" w:eastAsia="方正仿宋_GBK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sz w:val="32"/>
          <w:szCs w:val="32"/>
        </w:rPr>
        <w:t>2026年3月12日</w:t>
      </w:r>
      <w:r>
        <w:rPr>
          <w:rFonts w:hint="eastAsia" w:ascii="Times New Roman" w:hAnsi="Times New Roman" w:eastAsia="方正仿宋_GBK" w:cs="Times New Roman"/>
          <w:sz w:val="32"/>
          <w:szCs w:val="32"/>
          <w:lang w:val="en-US" w:eastAsia="zh-CN"/>
        </w:rPr>
        <w:t xml:space="preserve"> </w:t>
      </w:r>
    </w:p>
    <w:p w14:paraId="0540477B"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/>
        <w:snapToGrid/>
        <w:spacing w:line="590" w:lineRule="atLeast"/>
        <w:ind w:right="630" w:rightChars="300" w:firstLine="640" w:firstLineChars="200"/>
        <w:jc w:val="left"/>
        <w:textAlignment w:val="auto"/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</w:pPr>
      <w:r>
        <w:rPr>
          <w:rFonts w:hint="eastAsia" w:ascii="Times New Roman" w:hAnsi="Times New Roman" w:eastAsia="方正仿宋_GBK" w:cs="Times New Roman"/>
          <w:sz w:val="32"/>
          <w:szCs w:val="32"/>
          <w:lang w:val="en-US" w:eastAsia="zh-CN"/>
        </w:rPr>
        <w:t xml:space="preserve">（此件公开发布）       </w:t>
      </w:r>
    </w:p>
    <w:p w14:paraId="364C4238"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/>
        <w:snapToGrid/>
        <w:spacing w:line="590" w:lineRule="atLeast"/>
        <w:ind w:firstLine="640" w:firstLineChars="200"/>
        <w:textAlignment w:val="auto"/>
        <w:rPr>
          <w:rFonts w:hint="default" w:ascii="Times New Roman" w:hAnsi="Times New Roman" w:eastAsia="方正仿宋_GBK" w:cs="Times New Roman"/>
          <w:sz w:val="32"/>
          <w:szCs w:val="32"/>
        </w:rPr>
      </w:pPr>
    </w:p>
    <w:p w14:paraId="522E024E"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/>
        <w:snapToGrid/>
        <w:spacing w:line="590" w:lineRule="atLeast"/>
        <w:ind w:firstLine="640" w:firstLineChars="200"/>
        <w:textAlignment w:val="auto"/>
        <w:rPr>
          <w:rFonts w:hint="default" w:ascii="Times New Roman" w:hAnsi="Times New Roman" w:eastAsia="方正仿宋_GBK" w:cs="Times New Roman"/>
          <w:sz w:val="32"/>
          <w:szCs w:val="32"/>
        </w:rPr>
      </w:pPr>
    </w:p>
    <w:p w14:paraId="0AD42EE9"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/>
        <w:snapToGrid/>
        <w:spacing w:line="590" w:lineRule="atLeast"/>
        <w:ind w:firstLine="640" w:firstLineChars="200"/>
        <w:textAlignment w:val="auto"/>
        <w:rPr>
          <w:rFonts w:hint="default" w:ascii="Times New Roman" w:hAnsi="Times New Roman" w:eastAsia="方正仿宋_GBK" w:cs="Times New Roman"/>
          <w:sz w:val="32"/>
          <w:szCs w:val="32"/>
        </w:rPr>
      </w:pPr>
    </w:p>
    <w:p w14:paraId="45A231C7"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/>
        <w:snapToGrid/>
        <w:spacing w:line="590" w:lineRule="atLeast"/>
        <w:ind w:left="0" w:leftChars="0" w:right="0" w:rightChars="0" w:firstLine="0" w:firstLineChars="0"/>
        <w:jc w:val="both"/>
        <w:textAlignment w:val="auto"/>
        <w:rPr>
          <w:rFonts w:hint="default" w:ascii="方正小标宋简体" w:hAnsi="方正小标宋简体" w:eastAsia="方正小标宋简体" w:cs="方正小标宋简体"/>
          <w:sz w:val="44"/>
          <w:szCs w:val="44"/>
        </w:rPr>
      </w:pPr>
    </w:p>
    <w:p w14:paraId="7BD2BA93"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/>
        <w:snapToGrid/>
        <w:spacing w:line="590" w:lineRule="exact"/>
        <w:ind w:left="0" w:leftChars="0" w:right="0" w:rightChars="0" w:firstLine="0" w:firstLineChars="0"/>
        <w:jc w:val="center"/>
        <w:textAlignment w:val="auto"/>
        <w:rPr>
          <w:rFonts w:hint="default" w:ascii="方正小标宋_GBK" w:hAnsi="方正小标宋_GBK" w:eastAsia="方正小标宋_GBK" w:cs="方正小标宋_GBK"/>
          <w:sz w:val="44"/>
          <w:szCs w:val="44"/>
        </w:rPr>
      </w:pPr>
      <w:bookmarkStart w:id="0" w:name="_GoBack"/>
      <w:r>
        <w:rPr>
          <w:rFonts w:hint="default" w:ascii="方正小标宋_GBK" w:hAnsi="方正小标宋_GBK" w:eastAsia="方正小标宋_GBK" w:cs="方正小标宋_GBK"/>
          <w:sz w:val="44"/>
          <w:szCs w:val="44"/>
        </w:rPr>
        <w:t>亳州市支持中医药及大健康产业高质量</w:t>
      </w:r>
    </w:p>
    <w:p w14:paraId="1A6D20BB"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/>
        <w:snapToGrid/>
        <w:spacing w:line="590" w:lineRule="exact"/>
        <w:ind w:left="0" w:leftChars="0" w:right="0" w:rightChars="0" w:firstLine="0" w:firstLineChars="0"/>
        <w:jc w:val="center"/>
        <w:textAlignment w:val="auto"/>
        <w:rPr>
          <w:rFonts w:hint="default" w:ascii="方正小标宋简体" w:hAnsi="方正小标宋简体" w:eastAsia="方正小标宋简体" w:cs="方正小标宋简体"/>
          <w:sz w:val="44"/>
          <w:szCs w:val="44"/>
        </w:rPr>
      </w:pPr>
      <w:r>
        <w:rPr>
          <w:rFonts w:hint="default" w:ascii="方正小标宋_GBK" w:hAnsi="方正小标宋_GBK" w:eastAsia="方正小标宋_GBK" w:cs="方正小标宋_GBK"/>
          <w:sz w:val="44"/>
          <w:szCs w:val="44"/>
        </w:rPr>
        <w:t>发展若干举措</w:t>
      </w:r>
    </w:p>
    <w:bookmarkEnd w:id="0"/>
    <w:p w14:paraId="115385E8"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/>
        <w:snapToGrid/>
        <w:spacing w:line="590" w:lineRule="atLeast"/>
        <w:ind w:firstLine="640" w:firstLineChars="200"/>
        <w:textAlignment w:val="auto"/>
        <w:rPr>
          <w:rFonts w:hint="default" w:ascii="Times New Roman" w:hAnsi="Times New Roman" w:eastAsia="方正仿宋_GBK" w:cs="Times New Roman"/>
          <w:sz w:val="32"/>
          <w:szCs w:val="32"/>
        </w:rPr>
      </w:pPr>
    </w:p>
    <w:p w14:paraId="3D00964C"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/>
        <w:snapToGrid/>
        <w:spacing w:line="590" w:lineRule="atLeast"/>
        <w:ind w:firstLine="640" w:firstLineChars="200"/>
        <w:textAlignment w:val="auto"/>
        <w:rPr>
          <w:rFonts w:hint="default" w:ascii="Times New Roman" w:hAnsi="Times New Roman" w:eastAsia="方正仿宋_GBK" w:cs="Times New Roman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sz w:val="32"/>
          <w:szCs w:val="32"/>
        </w:rPr>
        <w:t>为深入贯彻党的二十大和二十届历次全会精神，全面落实习近平总书记关于中医药工作的重要论述，加快推进中医药现代化、产业化，推动中医药走向世界，促进中医药及大健康产业高质量发展，根据《中华人民共和国中医药法》等法律，结合我市实际，制定如下举措。</w:t>
      </w:r>
    </w:p>
    <w:p w14:paraId="302F47AA"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/>
        <w:snapToGrid/>
        <w:spacing w:line="590" w:lineRule="atLeast"/>
        <w:ind w:firstLine="640" w:firstLineChars="200"/>
        <w:textAlignment w:val="auto"/>
        <w:rPr>
          <w:rFonts w:hint="eastAsia" w:ascii="方正黑体_GBK" w:hAnsi="方正黑体_GBK" w:eastAsia="方正黑体_GBK" w:cs="方正黑体_GBK"/>
          <w:sz w:val="32"/>
          <w:szCs w:val="32"/>
        </w:rPr>
      </w:pPr>
      <w:r>
        <w:rPr>
          <w:rFonts w:hint="eastAsia" w:ascii="方正黑体_GBK" w:hAnsi="方正黑体_GBK" w:eastAsia="方正黑体_GBK" w:cs="方正黑体_GBK"/>
          <w:sz w:val="32"/>
          <w:szCs w:val="32"/>
        </w:rPr>
        <w:t>一、支持中药材种业创新发展</w:t>
      </w:r>
    </w:p>
    <w:p w14:paraId="6D585DC8"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/>
        <w:snapToGrid/>
        <w:spacing w:line="590" w:lineRule="atLeast"/>
        <w:ind w:firstLine="640" w:firstLineChars="200"/>
        <w:textAlignment w:val="auto"/>
        <w:rPr>
          <w:rFonts w:hint="default" w:ascii="Times New Roman" w:hAnsi="Times New Roman" w:eastAsia="方正仿宋_GBK" w:cs="Times New Roman"/>
          <w:sz w:val="32"/>
          <w:szCs w:val="32"/>
        </w:rPr>
      </w:pPr>
      <w:r>
        <w:rPr>
          <w:rFonts w:hint="default" w:ascii="Times New Roman" w:hAnsi="Times New Roman" w:eastAsia="方正楷体_GBK" w:cs="Times New Roman"/>
          <w:sz w:val="32"/>
          <w:szCs w:val="32"/>
        </w:rPr>
        <w:t>1.支持中药材种业创新。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对新通过省级及以上非主要农作物品种鉴定登记的中药材新品种，且在我市推广种植面积2000亩以上，按每个品种20万元给予鉴定登记的第一申请单位一次性奖补。支持中药材良种组培生产体系建设，对中药材种子种苗组培繁育体系完善，且在本地推广种植面积1000亩以上，按每个品种5万元给予一次性奖补。</w:t>
      </w:r>
    </w:p>
    <w:p w14:paraId="236A8129"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/>
        <w:snapToGrid/>
        <w:spacing w:line="590" w:lineRule="atLeast"/>
        <w:ind w:firstLine="640" w:firstLineChars="200"/>
        <w:textAlignment w:val="auto"/>
        <w:rPr>
          <w:rFonts w:hint="default" w:ascii="Times New Roman" w:hAnsi="Times New Roman" w:eastAsia="方正仿宋_GBK" w:cs="Times New Roman"/>
          <w:sz w:val="32"/>
          <w:szCs w:val="32"/>
        </w:rPr>
      </w:pPr>
      <w:r>
        <w:rPr>
          <w:rFonts w:hint="default" w:ascii="Times New Roman" w:hAnsi="Times New Roman" w:eastAsia="方正楷体_GBK" w:cs="Times New Roman"/>
          <w:sz w:val="32"/>
          <w:szCs w:val="32"/>
        </w:rPr>
        <w:t>2.支持良种繁育基地建设。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对在我市新建连片面积50亩以上且有销售实绩，农事操作规范、应用数字化质量安全追溯系统的中药材良种繁育基地，按每个基地5万元给予一次性奖补。</w:t>
      </w:r>
    </w:p>
    <w:p w14:paraId="4DA76D19"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/>
        <w:snapToGrid/>
        <w:spacing w:line="590" w:lineRule="atLeast"/>
        <w:ind w:firstLine="640" w:firstLineChars="200"/>
        <w:textAlignment w:val="auto"/>
        <w:rPr>
          <w:rFonts w:hint="default" w:ascii="方正黑体_GBK" w:hAnsi="方正黑体_GBK" w:eastAsia="方正黑体_GBK" w:cs="方正黑体_GBK"/>
          <w:sz w:val="32"/>
          <w:szCs w:val="32"/>
        </w:rPr>
      </w:pPr>
      <w:r>
        <w:rPr>
          <w:rFonts w:hint="default" w:ascii="方正黑体_GBK" w:hAnsi="方正黑体_GBK" w:eastAsia="方正黑体_GBK" w:cs="方正黑体_GBK"/>
          <w:sz w:val="32"/>
          <w:szCs w:val="32"/>
        </w:rPr>
        <w:t>二、推动中药材规范化种植</w:t>
      </w:r>
    </w:p>
    <w:p w14:paraId="4492D63A"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/>
        <w:snapToGrid/>
        <w:spacing w:line="590" w:lineRule="atLeast"/>
        <w:ind w:firstLine="640" w:firstLineChars="200"/>
        <w:textAlignment w:val="auto"/>
        <w:rPr>
          <w:rFonts w:hint="default" w:ascii="Times New Roman" w:hAnsi="Times New Roman" w:eastAsia="方正仿宋_GBK" w:cs="Times New Roman"/>
          <w:sz w:val="32"/>
          <w:szCs w:val="32"/>
        </w:rPr>
      </w:pPr>
      <w:r>
        <w:rPr>
          <w:rFonts w:hint="default" w:ascii="Times New Roman" w:hAnsi="Times New Roman" w:eastAsia="方正楷体_GBK" w:cs="Times New Roman"/>
          <w:sz w:val="32"/>
          <w:szCs w:val="32"/>
        </w:rPr>
        <w:t>3.支持GAP种植基地建设。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对新通过GAP符合性检查（延伸检查）且在我市种植面积100亩以上的基地，按每个基地5万元给予申报企业一次性奖补，种植面积每增加100亩，奖补提高1万元，同一品种最高不超过10万元。</w:t>
      </w:r>
    </w:p>
    <w:p w14:paraId="12132E0E"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/>
        <w:snapToGrid/>
        <w:spacing w:line="590" w:lineRule="atLeast"/>
        <w:ind w:firstLine="640" w:firstLineChars="200"/>
        <w:textAlignment w:val="auto"/>
        <w:rPr>
          <w:rFonts w:hint="default" w:ascii="Times New Roman" w:hAnsi="Times New Roman" w:eastAsia="方正仿宋_GBK" w:cs="Times New Roman"/>
          <w:sz w:val="32"/>
          <w:szCs w:val="32"/>
        </w:rPr>
      </w:pPr>
      <w:r>
        <w:rPr>
          <w:rFonts w:hint="default" w:ascii="Times New Roman" w:hAnsi="Times New Roman" w:eastAsia="方正楷体_GBK" w:cs="Times New Roman"/>
          <w:sz w:val="32"/>
          <w:szCs w:val="32"/>
        </w:rPr>
        <w:t>4.支持中药材标准化数字化种植。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因地制宜推广</w:t>
      </w:r>
      <w:r>
        <w:rPr>
          <w:rFonts w:hint="eastAsia" w:ascii="Times New Roman" w:hAnsi="Times New Roman" w:eastAsia="方正仿宋_GBK" w:cs="Times New Roman"/>
          <w:sz w:val="32"/>
          <w:szCs w:val="32"/>
          <w:lang w:eastAsia="zh-CN"/>
        </w:rPr>
        <w:t>“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龙头企业+农民合作社+基地</w:t>
      </w:r>
      <w:r>
        <w:rPr>
          <w:rFonts w:hint="eastAsia" w:ascii="Times New Roman" w:hAnsi="Times New Roman" w:eastAsia="方正仿宋_GBK" w:cs="Times New Roman"/>
          <w:sz w:val="32"/>
          <w:szCs w:val="32"/>
          <w:lang w:eastAsia="zh-CN"/>
        </w:rPr>
        <w:t>”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等模式，对在我市新建连片50亩以上，农事操作规范、应用数字化质量安全追溯系统的中药材标准化种植基地，按每亩200元给予一次性奖补。</w:t>
      </w:r>
    </w:p>
    <w:p w14:paraId="6F7AE03B"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/>
        <w:snapToGrid/>
        <w:spacing w:line="590" w:lineRule="atLeast"/>
        <w:ind w:firstLine="640" w:firstLineChars="200"/>
        <w:textAlignment w:val="auto"/>
        <w:rPr>
          <w:rFonts w:hint="default" w:ascii="Times New Roman" w:hAnsi="Times New Roman" w:eastAsia="方正仿宋_GBK" w:cs="Times New Roman"/>
          <w:sz w:val="32"/>
          <w:szCs w:val="32"/>
        </w:rPr>
      </w:pPr>
      <w:r>
        <w:rPr>
          <w:rFonts w:hint="default" w:ascii="Times New Roman" w:hAnsi="Times New Roman" w:eastAsia="方正楷体_GBK" w:cs="Times New Roman"/>
          <w:sz w:val="32"/>
          <w:szCs w:val="32"/>
        </w:rPr>
        <w:t>5.支持林下中药材生态种植。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在严守生态保护红线的原则下，鼓励发展中药材间套作、轮作等生态种植。对在我市新建50亩以上连片林下中药材种植片区，按照种植面积每亩200元给予奖补。</w:t>
      </w:r>
    </w:p>
    <w:p w14:paraId="4699D0B0"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/>
        <w:snapToGrid/>
        <w:spacing w:line="590" w:lineRule="atLeast"/>
        <w:ind w:firstLine="640" w:firstLineChars="200"/>
        <w:textAlignment w:val="auto"/>
        <w:rPr>
          <w:rFonts w:hint="eastAsia" w:ascii="方正黑体_GBK" w:hAnsi="方正黑体_GBK" w:eastAsia="方正黑体_GBK" w:cs="方正黑体_GBK"/>
          <w:sz w:val="32"/>
          <w:szCs w:val="32"/>
        </w:rPr>
      </w:pPr>
      <w:r>
        <w:rPr>
          <w:rFonts w:hint="eastAsia" w:ascii="方正黑体_GBK" w:hAnsi="方正黑体_GBK" w:eastAsia="方正黑体_GBK" w:cs="方正黑体_GBK"/>
          <w:sz w:val="32"/>
          <w:szCs w:val="32"/>
        </w:rPr>
        <w:t>三、支持产业优化升级</w:t>
      </w:r>
    </w:p>
    <w:p w14:paraId="07A79477"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/>
        <w:snapToGrid/>
        <w:spacing w:line="590" w:lineRule="atLeast"/>
        <w:ind w:firstLine="640" w:firstLineChars="200"/>
        <w:textAlignment w:val="auto"/>
        <w:rPr>
          <w:rFonts w:hint="default" w:ascii="Times New Roman" w:hAnsi="Times New Roman" w:eastAsia="方正仿宋_GBK" w:cs="Times New Roman"/>
          <w:sz w:val="32"/>
          <w:szCs w:val="32"/>
        </w:rPr>
      </w:pPr>
      <w:r>
        <w:rPr>
          <w:rFonts w:hint="default" w:ascii="Times New Roman" w:hAnsi="Times New Roman" w:eastAsia="方正楷体_GBK" w:cs="Times New Roman"/>
          <w:sz w:val="32"/>
          <w:szCs w:val="32"/>
        </w:rPr>
        <w:t>6.支持企业创新发展。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强化企业科技创新主体地位，推动技术突破、要素配置、转型升级。每年评选一批有示范效应的中医药及大健康企业，给予一次性奖励，扶持资金由受益财政承担。</w:t>
      </w:r>
    </w:p>
    <w:p w14:paraId="6687C133"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/>
        <w:snapToGrid/>
        <w:spacing w:line="590" w:lineRule="atLeast"/>
        <w:ind w:firstLine="640" w:firstLineChars="200"/>
        <w:textAlignment w:val="auto"/>
        <w:rPr>
          <w:rFonts w:hint="default" w:ascii="Times New Roman" w:hAnsi="Times New Roman" w:eastAsia="方正楷体_GBK" w:cs="Times New Roman"/>
          <w:sz w:val="32"/>
          <w:szCs w:val="32"/>
        </w:rPr>
      </w:pPr>
      <w:r>
        <w:rPr>
          <w:rFonts w:hint="default" w:ascii="Times New Roman" w:hAnsi="Times New Roman" w:eastAsia="方正楷体_GBK" w:cs="Times New Roman"/>
          <w:sz w:val="32"/>
          <w:szCs w:val="32"/>
        </w:rPr>
        <w:t>7.支持企业新型技术改造。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支持现有企业设备更新、数智转型、技术改造，对符合《制造业重点领域新型技术改造投资指引》的中医药及大健康企业（项目），参照国家、省、市相关规定，市本级财政对设备投资贷款给予20%贴息，贴息期限不超过1年，单个企业（项目）不超过60万元，可以与国家、省政策累加享受。</w:t>
      </w:r>
    </w:p>
    <w:p w14:paraId="6103F879"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/>
        <w:snapToGrid/>
        <w:spacing w:line="590" w:lineRule="atLeast"/>
        <w:ind w:firstLine="640" w:firstLineChars="200"/>
        <w:textAlignment w:val="auto"/>
        <w:rPr>
          <w:rFonts w:hint="default" w:ascii="Times New Roman" w:hAnsi="Times New Roman" w:eastAsia="方正仿宋_GBK" w:cs="Times New Roman"/>
          <w:sz w:val="32"/>
          <w:szCs w:val="32"/>
        </w:rPr>
      </w:pPr>
      <w:r>
        <w:rPr>
          <w:rFonts w:hint="default" w:ascii="Times New Roman" w:hAnsi="Times New Roman" w:eastAsia="方正楷体_GBK" w:cs="Times New Roman"/>
          <w:sz w:val="32"/>
          <w:szCs w:val="32"/>
        </w:rPr>
        <w:t>8.支持中药材智能流通仓储项目建设。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对中药材智能流通仓储项目的贷款，参照国家、省、市相关规定，按照利息的20%给予贴息支持，单个项目贴息规模不超过60万元。</w:t>
      </w:r>
    </w:p>
    <w:p w14:paraId="2FB83568"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/>
        <w:snapToGrid/>
        <w:spacing w:line="590" w:lineRule="atLeast"/>
        <w:ind w:firstLine="640" w:firstLineChars="200"/>
        <w:textAlignment w:val="auto"/>
        <w:rPr>
          <w:rFonts w:hint="default" w:ascii="Times New Roman" w:hAnsi="Times New Roman" w:eastAsia="方正仿宋_GBK" w:cs="Times New Roman"/>
          <w:sz w:val="32"/>
          <w:szCs w:val="32"/>
        </w:rPr>
      </w:pPr>
      <w:r>
        <w:rPr>
          <w:rFonts w:hint="default" w:ascii="Times New Roman" w:hAnsi="Times New Roman" w:eastAsia="方正楷体_GBK" w:cs="Times New Roman"/>
          <w:sz w:val="32"/>
          <w:szCs w:val="32"/>
        </w:rPr>
        <w:t>9.支持企业智能化绿色化提升。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对新认定为先进级、卓越级、领航级智能工厂的中医药及大健康企业，分别给予不超过50万元、100万元、100万元一次性奖补。对新认定为省级绿色工厂、国家级绿色供应链管理企业、国家级绿色工厂的中医药及大健康制造业企业，分别给予不超过10万元、30万元、30万元的奖补。对新获评为国家5G工厂的中医药及大健康企业，给予不超过10万元的一次性奖补。对新获评为省重点工业互联网平台的中医药及大健康企业，给予不超过20万元的一次性奖补。</w:t>
      </w:r>
    </w:p>
    <w:p w14:paraId="267275D2"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/>
        <w:snapToGrid/>
        <w:spacing w:line="590" w:lineRule="atLeast"/>
        <w:ind w:firstLine="640" w:firstLineChars="200"/>
        <w:textAlignment w:val="auto"/>
        <w:rPr>
          <w:rFonts w:hint="default" w:ascii="Times New Roman" w:hAnsi="Times New Roman" w:eastAsia="方正仿宋_GBK" w:cs="Times New Roman"/>
          <w:sz w:val="32"/>
          <w:szCs w:val="32"/>
        </w:rPr>
      </w:pPr>
      <w:r>
        <w:rPr>
          <w:rFonts w:hint="default" w:ascii="Times New Roman" w:hAnsi="Times New Roman" w:eastAsia="方正楷体_GBK" w:cs="Times New Roman"/>
          <w:sz w:val="32"/>
          <w:szCs w:val="32"/>
        </w:rPr>
        <w:t>10.支持企业并购重组。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对为完成并购项目使用的贷款，按照并购方实际支付利息的30%给予贴息支持，贴息期限不超过1年，单个企业不超过100万元。成立专项基金或设立并购重组子基金，支持企业并购投资。</w:t>
      </w:r>
    </w:p>
    <w:p w14:paraId="46DCF734"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/>
        <w:snapToGrid/>
        <w:spacing w:line="590" w:lineRule="atLeast"/>
        <w:ind w:firstLine="640" w:firstLineChars="200"/>
        <w:textAlignment w:val="auto"/>
        <w:rPr>
          <w:rFonts w:hint="default" w:ascii="Times New Roman" w:hAnsi="Times New Roman" w:eastAsia="方正仿宋_GBK" w:cs="Times New Roman"/>
          <w:sz w:val="32"/>
          <w:szCs w:val="32"/>
        </w:rPr>
      </w:pPr>
      <w:r>
        <w:rPr>
          <w:rFonts w:hint="default" w:ascii="Times New Roman" w:hAnsi="Times New Roman" w:eastAsia="方正楷体_GBK" w:cs="Times New Roman"/>
          <w:sz w:val="32"/>
          <w:szCs w:val="32"/>
        </w:rPr>
        <w:t>11.支持中药品牌建设。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对新获批认定为国家驰名商标、国家地理标志保护产品、地理标志商标的，分别给予20万元、15万元、5万元的一次性奖补。对新认定为安徽老字号、中华老字号的企业，分别给予5万元、10万元的一次性奖补。</w:t>
      </w:r>
    </w:p>
    <w:p w14:paraId="34C3B962"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/>
        <w:snapToGrid/>
        <w:spacing w:line="590" w:lineRule="atLeast"/>
        <w:ind w:firstLine="640" w:firstLineChars="200"/>
        <w:textAlignment w:val="auto"/>
        <w:rPr>
          <w:rFonts w:hint="eastAsia" w:ascii="方正黑体_GBK" w:hAnsi="方正黑体_GBK" w:eastAsia="方正黑体_GBK" w:cs="方正黑体_GBK"/>
          <w:sz w:val="32"/>
          <w:szCs w:val="32"/>
        </w:rPr>
      </w:pPr>
      <w:r>
        <w:rPr>
          <w:rFonts w:hint="eastAsia" w:ascii="方正黑体_GBK" w:hAnsi="方正黑体_GBK" w:eastAsia="方正黑体_GBK" w:cs="方正黑体_GBK"/>
          <w:sz w:val="32"/>
          <w:szCs w:val="32"/>
        </w:rPr>
        <w:t xml:space="preserve">四、支持企业科技研发及成果转化 </w:t>
      </w:r>
    </w:p>
    <w:p w14:paraId="30852A7B"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/>
        <w:snapToGrid/>
        <w:spacing w:line="590" w:lineRule="atLeast"/>
        <w:ind w:firstLine="640" w:firstLineChars="200"/>
        <w:textAlignment w:val="auto"/>
        <w:rPr>
          <w:rFonts w:hint="default" w:ascii="Times New Roman" w:hAnsi="Times New Roman" w:eastAsia="方正仿宋_GBK" w:cs="Times New Roman"/>
          <w:sz w:val="32"/>
          <w:szCs w:val="32"/>
        </w:rPr>
      </w:pPr>
      <w:r>
        <w:rPr>
          <w:rFonts w:hint="default" w:ascii="Times New Roman" w:hAnsi="Times New Roman" w:eastAsia="方正楷体_GBK" w:cs="Times New Roman"/>
          <w:sz w:val="32"/>
          <w:szCs w:val="32"/>
        </w:rPr>
        <w:t>12.支持药品研发。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对进入Ⅱ期、Ⅲ期临床试验阶段的1类、2类新药，在我市实现产出的，结合研发和产业化进度，分阶段给予不超过研发投入50%的奖补，最高分别为1亿元、5000万元。对完成注册的古代经典名方中药复方制剂、同名同方药、仿制药（包括化学药、生物制品），并在我市实现产出的，给予不超过研发投入50%、最高400万元的奖补。</w:t>
      </w:r>
    </w:p>
    <w:p w14:paraId="12061779"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/>
        <w:snapToGrid/>
        <w:spacing w:line="590" w:lineRule="atLeast"/>
        <w:ind w:firstLine="640" w:firstLineChars="200"/>
        <w:textAlignment w:val="auto"/>
        <w:rPr>
          <w:rFonts w:hint="default" w:ascii="Times New Roman" w:hAnsi="Times New Roman" w:eastAsia="方正仿宋_GBK" w:cs="Times New Roman"/>
          <w:sz w:val="32"/>
          <w:szCs w:val="32"/>
        </w:rPr>
      </w:pPr>
      <w:r>
        <w:rPr>
          <w:rFonts w:hint="default" w:ascii="Times New Roman" w:hAnsi="Times New Roman" w:eastAsia="方正楷体_GBK" w:cs="Times New Roman"/>
          <w:sz w:val="32"/>
          <w:szCs w:val="32"/>
        </w:rPr>
        <w:t>13.支持医疗器械研发。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对首次注册生产三类医疗器械、创新型二类医疗器械、创新型三类医疗器械的企业，按品种分别给予不超过150万元、200万元、300万元的奖补，单个企业最高1000万元。</w:t>
      </w:r>
    </w:p>
    <w:p w14:paraId="56429479"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/>
        <w:snapToGrid/>
        <w:spacing w:line="590" w:lineRule="atLeast"/>
        <w:ind w:firstLine="640" w:firstLineChars="200"/>
        <w:textAlignment w:val="auto"/>
        <w:rPr>
          <w:rFonts w:hint="default" w:ascii="Times New Roman" w:hAnsi="Times New Roman" w:eastAsia="方正仿宋_GBK" w:cs="Times New Roman"/>
          <w:sz w:val="32"/>
          <w:szCs w:val="32"/>
        </w:rPr>
      </w:pPr>
      <w:r>
        <w:rPr>
          <w:rFonts w:hint="default" w:ascii="Times New Roman" w:hAnsi="Times New Roman" w:eastAsia="方正楷体_GBK" w:cs="Times New Roman"/>
          <w:sz w:val="32"/>
          <w:szCs w:val="32"/>
        </w:rPr>
        <w:t>14.支持特殊管理的健康产品研发。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对首次注册生产的保健食品、特殊医学用途配方食品、特殊化妆品，结合产业化情况，每个品种给予不超过研发投入50%、不超过20万元的奖补，单个企业最高100万元。</w:t>
      </w:r>
    </w:p>
    <w:p w14:paraId="7094F146"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/>
        <w:snapToGrid/>
        <w:spacing w:line="590" w:lineRule="atLeast"/>
        <w:ind w:firstLine="640" w:firstLineChars="200"/>
        <w:textAlignment w:val="auto"/>
        <w:rPr>
          <w:rFonts w:hint="default" w:ascii="Times New Roman" w:hAnsi="Times New Roman" w:eastAsia="方正仿宋_GBK" w:cs="Times New Roman"/>
          <w:sz w:val="32"/>
          <w:szCs w:val="32"/>
        </w:rPr>
      </w:pPr>
      <w:r>
        <w:rPr>
          <w:rFonts w:hint="default" w:ascii="Times New Roman" w:hAnsi="Times New Roman" w:eastAsia="方正楷体_GBK" w:cs="Times New Roman"/>
          <w:sz w:val="32"/>
          <w:szCs w:val="32"/>
        </w:rPr>
        <w:t>15.支持科技成果引进转化。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对企业新引进科技成果并实施转化产业化的，对实际支付额不低于1000万元，或经综合评估价值不低于1000万元的项目，给予不超过50%的扶持。</w:t>
      </w:r>
    </w:p>
    <w:p w14:paraId="2EB162C2"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/>
        <w:snapToGrid/>
        <w:spacing w:line="590" w:lineRule="atLeast"/>
        <w:ind w:firstLine="640" w:firstLineChars="200"/>
        <w:textAlignment w:val="auto"/>
        <w:rPr>
          <w:rFonts w:hint="default" w:ascii="Times New Roman" w:hAnsi="Times New Roman" w:eastAsia="方正仿宋_GBK" w:cs="Times New Roman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sz w:val="32"/>
          <w:szCs w:val="32"/>
        </w:rPr>
        <w:t>第12、13、14、15条扶持资金由受益财政承担，并制定具体实施细则。</w:t>
      </w:r>
    </w:p>
    <w:p w14:paraId="480F7286"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/>
        <w:snapToGrid/>
        <w:spacing w:line="590" w:lineRule="atLeast"/>
        <w:ind w:firstLine="640" w:firstLineChars="200"/>
        <w:textAlignment w:val="auto"/>
        <w:rPr>
          <w:rFonts w:hint="default" w:ascii="Times New Roman" w:hAnsi="Times New Roman" w:eastAsia="方正仿宋_GBK" w:cs="Times New Roman"/>
          <w:sz w:val="32"/>
          <w:szCs w:val="32"/>
        </w:rPr>
      </w:pPr>
      <w:r>
        <w:rPr>
          <w:rFonts w:hint="default" w:ascii="Times New Roman" w:hAnsi="Times New Roman" w:eastAsia="方正楷体_GBK" w:cs="Times New Roman"/>
          <w:sz w:val="32"/>
          <w:szCs w:val="32"/>
        </w:rPr>
        <w:t>16.支持项目攻关和平台建设。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围绕医药及大健康重大技术需求，通过</w:t>
      </w:r>
      <w:r>
        <w:rPr>
          <w:rFonts w:hint="eastAsia" w:ascii="Times New Roman" w:hAnsi="Times New Roman" w:eastAsia="方正仿宋_GBK" w:cs="Times New Roman"/>
          <w:sz w:val="32"/>
          <w:szCs w:val="32"/>
          <w:lang w:eastAsia="zh-CN"/>
        </w:rPr>
        <w:t>“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公开竞争</w:t>
      </w:r>
      <w:r>
        <w:rPr>
          <w:rFonts w:hint="eastAsia" w:ascii="Times New Roman" w:hAnsi="Times New Roman" w:eastAsia="方正仿宋_GBK" w:cs="Times New Roman"/>
          <w:sz w:val="32"/>
          <w:szCs w:val="32"/>
          <w:lang w:eastAsia="zh-CN"/>
        </w:rPr>
        <w:t>”“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定向委托</w:t>
      </w:r>
      <w:r>
        <w:rPr>
          <w:rFonts w:hint="eastAsia" w:ascii="Times New Roman" w:hAnsi="Times New Roman" w:eastAsia="方正仿宋_GBK" w:cs="Times New Roman"/>
          <w:sz w:val="32"/>
          <w:szCs w:val="32"/>
          <w:lang w:eastAsia="zh-CN"/>
        </w:rPr>
        <w:t>”“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揭榜挂帅</w:t>
      </w:r>
      <w:r>
        <w:rPr>
          <w:rFonts w:hint="eastAsia" w:ascii="Times New Roman" w:hAnsi="Times New Roman" w:eastAsia="方正仿宋_GBK" w:cs="Times New Roman"/>
          <w:sz w:val="32"/>
          <w:szCs w:val="32"/>
          <w:lang w:eastAsia="zh-CN"/>
        </w:rPr>
        <w:t>”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等方式组织实施市级关键核心技术攻关项目。支持企业联合高校、科研院所及产业链上下游，建设面向行业的重点实验室、产业创新研究院等高能级平台。对企业实施项目攻关、建立创新平台给予政策支持。</w:t>
      </w:r>
    </w:p>
    <w:p w14:paraId="32BC1E68"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/>
        <w:snapToGrid/>
        <w:spacing w:line="590" w:lineRule="atLeast"/>
        <w:ind w:firstLine="640" w:firstLineChars="200"/>
        <w:textAlignment w:val="auto"/>
        <w:rPr>
          <w:rFonts w:hint="eastAsia" w:ascii="方正黑体_GBK" w:hAnsi="方正黑体_GBK" w:eastAsia="方正黑体_GBK" w:cs="方正黑体_GBK"/>
          <w:sz w:val="32"/>
          <w:szCs w:val="32"/>
        </w:rPr>
      </w:pPr>
      <w:r>
        <w:rPr>
          <w:rFonts w:hint="eastAsia" w:ascii="方正黑体_GBK" w:hAnsi="方正黑体_GBK" w:eastAsia="方正黑体_GBK" w:cs="方正黑体_GBK"/>
          <w:sz w:val="32"/>
          <w:szCs w:val="32"/>
        </w:rPr>
        <w:t>五、推动标准引领产业发展</w:t>
      </w:r>
    </w:p>
    <w:p w14:paraId="3CD07E36"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/>
        <w:snapToGrid/>
        <w:spacing w:line="590" w:lineRule="atLeast"/>
        <w:ind w:firstLine="640" w:firstLineChars="200"/>
        <w:textAlignment w:val="auto"/>
        <w:rPr>
          <w:rFonts w:hint="default" w:ascii="Times New Roman" w:hAnsi="Times New Roman" w:eastAsia="方正仿宋_GBK" w:cs="Times New Roman"/>
          <w:sz w:val="32"/>
          <w:szCs w:val="32"/>
        </w:rPr>
      </w:pPr>
      <w:r>
        <w:rPr>
          <w:rFonts w:hint="default" w:ascii="Times New Roman" w:hAnsi="Times New Roman" w:eastAsia="方正楷体_GBK" w:cs="Times New Roman"/>
          <w:sz w:val="32"/>
          <w:szCs w:val="32"/>
        </w:rPr>
        <w:t>17.支持标准研制。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鼓励企业主导或参与制定中医药及大健康相关的产品标准、工业数智技术标准、生产技术规范和服务规范等，对新制定并公布的相关国际标准、国家标准、行业标准排名第一位的起草单位，分别给予不超过100万元、50万元、30万元的奖补；排名第二位的起草单位，分别给予不超过50万元、20万元、10万元的奖补。对新制定省级地方标准排名第一位、第二位的起草单位，分别给予不超过10万元、2万元的奖补。对在省级及以上团体新制定团体标准排名第一位的起草单位，给予不超过3万元的奖补，每年总奖补金额不超过50万元。</w:t>
      </w:r>
    </w:p>
    <w:p w14:paraId="0CE94186"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/>
        <w:snapToGrid/>
        <w:spacing w:line="590" w:lineRule="atLeast"/>
        <w:ind w:firstLine="640" w:firstLineChars="200"/>
        <w:textAlignment w:val="auto"/>
        <w:rPr>
          <w:rFonts w:hint="default" w:ascii="Times New Roman" w:hAnsi="Times New Roman" w:eastAsia="方正仿宋_GBK" w:cs="Times New Roman"/>
          <w:sz w:val="32"/>
          <w:szCs w:val="32"/>
        </w:rPr>
      </w:pPr>
      <w:r>
        <w:rPr>
          <w:rFonts w:hint="default" w:ascii="Times New Roman" w:hAnsi="Times New Roman" w:eastAsia="方正楷体_GBK" w:cs="Times New Roman"/>
          <w:sz w:val="32"/>
          <w:szCs w:val="32"/>
        </w:rPr>
        <w:t>18.支持标准修订。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对新修订中医药及大健康类国际标准、国家标准、行业标准排名前两位的起草单位，给予不超过1万元的奖补。</w:t>
      </w:r>
    </w:p>
    <w:p w14:paraId="03E36553"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/>
        <w:snapToGrid/>
        <w:spacing w:line="590" w:lineRule="atLeast"/>
        <w:ind w:firstLine="640" w:firstLineChars="200"/>
        <w:textAlignment w:val="auto"/>
        <w:rPr>
          <w:rFonts w:hint="default" w:ascii="Times New Roman" w:hAnsi="Times New Roman" w:eastAsia="方正仿宋_GBK" w:cs="Times New Roman"/>
          <w:sz w:val="32"/>
          <w:szCs w:val="32"/>
        </w:rPr>
      </w:pPr>
      <w:r>
        <w:rPr>
          <w:rFonts w:hint="default" w:ascii="Times New Roman" w:hAnsi="Times New Roman" w:eastAsia="方正楷体_GBK" w:cs="Times New Roman"/>
          <w:sz w:val="32"/>
          <w:szCs w:val="32"/>
        </w:rPr>
        <w:t>19.支持标准试点创新。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对新通过验收的国家级、省级标准化示范试点单位，分别给予不超过20万元、10万元的奖补。对新通过验收的国家级标准应用试点（验证点），分别给予不超过10万元的奖补。</w:t>
      </w:r>
    </w:p>
    <w:p w14:paraId="408B37E4"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/>
        <w:snapToGrid/>
        <w:spacing w:line="590" w:lineRule="atLeast"/>
        <w:ind w:firstLine="640" w:firstLineChars="200"/>
        <w:textAlignment w:val="auto"/>
        <w:rPr>
          <w:rFonts w:hint="default" w:ascii="Times New Roman" w:hAnsi="Times New Roman" w:eastAsia="方正仿宋_GBK" w:cs="Times New Roman"/>
          <w:sz w:val="32"/>
          <w:szCs w:val="32"/>
        </w:rPr>
      </w:pPr>
      <w:r>
        <w:rPr>
          <w:rFonts w:hint="default" w:ascii="Times New Roman" w:hAnsi="Times New Roman" w:eastAsia="方正楷体_GBK" w:cs="Times New Roman"/>
          <w:sz w:val="32"/>
          <w:szCs w:val="32"/>
        </w:rPr>
        <w:t>20.支持标准应用。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对企业新采用省级及以上团体发布的大健康类产品生产技术标准、质量标准等，对产生的评审验收等相关费用，按照50%给予补贴，单个企业每年累计不超过10万元。</w:t>
      </w:r>
    </w:p>
    <w:p w14:paraId="29F464B5"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/>
        <w:snapToGrid/>
        <w:spacing w:line="590" w:lineRule="atLeast"/>
        <w:ind w:firstLine="640" w:firstLineChars="200"/>
        <w:textAlignment w:val="auto"/>
        <w:rPr>
          <w:rFonts w:hint="eastAsia" w:ascii="方正黑体_GBK" w:hAnsi="方正黑体_GBK" w:eastAsia="方正黑体_GBK" w:cs="方正黑体_GBK"/>
          <w:sz w:val="32"/>
          <w:szCs w:val="32"/>
        </w:rPr>
      </w:pPr>
      <w:r>
        <w:rPr>
          <w:rFonts w:hint="eastAsia" w:ascii="方正黑体_GBK" w:hAnsi="方正黑体_GBK" w:eastAsia="方正黑体_GBK" w:cs="方正黑体_GBK"/>
          <w:sz w:val="32"/>
          <w:szCs w:val="32"/>
        </w:rPr>
        <w:t>六、支持创新产品全球注册认证</w:t>
      </w:r>
    </w:p>
    <w:p w14:paraId="4B6D4E81"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/>
        <w:snapToGrid/>
        <w:spacing w:line="590" w:lineRule="atLeast"/>
        <w:ind w:firstLine="640" w:firstLineChars="200"/>
        <w:textAlignment w:val="auto"/>
        <w:rPr>
          <w:rFonts w:hint="default" w:ascii="Times New Roman" w:hAnsi="Times New Roman" w:eastAsia="方正仿宋_GBK" w:cs="Times New Roman"/>
          <w:sz w:val="32"/>
          <w:szCs w:val="32"/>
        </w:rPr>
      </w:pPr>
      <w:r>
        <w:rPr>
          <w:rFonts w:hint="default" w:ascii="Times New Roman" w:hAnsi="Times New Roman" w:eastAsia="方正楷体_GBK" w:cs="Times New Roman"/>
          <w:sz w:val="32"/>
          <w:szCs w:val="32"/>
        </w:rPr>
        <w:t>21.支持产品海外注册。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对企业研发的药品和二类及以上医疗器械，申请通过美国国家食品药品监督管理局（FDA）、欧洲药品管理局（EMA）、日本药品和医疗器械管理局（PMDA），以及金砖国家、RCEP成员国、</w:t>
      </w:r>
      <w:r>
        <w:rPr>
          <w:rFonts w:hint="eastAsia" w:ascii="Times New Roman" w:hAnsi="Times New Roman" w:eastAsia="方正仿宋_GBK" w:cs="Times New Roman"/>
          <w:sz w:val="32"/>
          <w:szCs w:val="32"/>
          <w:lang w:eastAsia="zh-CN"/>
        </w:rPr>
        <w:t>“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一带一路</w:t>
      </w:r>
      <w:r>
        <w:rPr>
          <w:rFonts w:hint="eastAsia" w:ascii="Times New Roman" w:hAnsi="Times New Roman" w:eastAsia="方正仿宋_GBK" w:cs="Times New Roman"/>
          <w:sz w:val="32"/>
          <w:szCs w:val="32"/>
          <w:lang w:eastAsia="zh-CN"/>
        </w:rPr>
        <w:t>”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沿线国家药品监管机构注册的给予支持。</w:t>
      </w:r>
    </w:p>
    <w:p w14:paraId="5507E3DC"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/>
        <w:snapToGrid/>
        <w:spacing w:line="590" w:lineRule="atLeast"/>
        <w:ind w:firstLine="640" w:firstLineChars="200"/>
        <w:textAlignment w:val="auto"/>
        <w:rPr>
          <w:rFonts w:hint="default" w:ascii="Times New Roman" w:hAnsi="Times New Roman" w:eastAsia="方正仿宋_GBK" w:cs="Times New Roman"/>
          <w:sz w:val="32"/>
          <w:szCs w:val="32"/>
        </w:rPr>
      </w:pPr>
      <w:r>
        <w:rPr>
          <w:rFonts w:hint="default" w:ascii="Times New Roman" w:hAnsi="Times New Roman" w:eastAsia="方正楷体_GBK" w:cs="Times New Roman"/>
          <w:sz w:val="32"/>
          <w:szCs w:val="32"/>
        </w:rPr>
        <w:t>22.支持企业开展大健康产品出口认证。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对首次获得国际通行的食品安全管理体系认证（如HACCP、FSSC22000、ISO22000、BRCGS等）的企业给予支持。</w:t>
      </w:r>
    </w:p>
    <w:p w14:paraId="039975EC"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/>
        <w:snapToGrid/>
        <w:spacing w:line="590" w:lineRule="atLeast"/>
        <w:ind w:firstLine="640" w:firstLineChars="200"/>
        <w:textAlignment w:val="auto"/>
        <w:rPr>
          <w:rFonts w:hint="eastAsia" w:ascii="方正黑体_GBK" w:hAnsi="方正黑体_GBK" w:eastAsia="方正黑体_GBK" w:cs="方正黑体_GBK"/>
          <w:sz w:val="32"/>
          <w:szCs w:val="32"/>
        </w:rPr>
      </w:pPr>
      <w:r>
        <w:rPr>
          <w:rFonts w:hint="eastAsia" w:ascii="方正黑体_GBK" w:hAnsi="方正黑体_GBK" w:eastAsia="方正黑体_GBK" w:cs="方正黑体_GBK"/>
          <w:sz w:val="32"/>
          <w:szCs w:val="32"/>
        </w:rPr>
        <w:t>七、支持企业开展国际交流与合作</w:t>
      </w:r>
    </w:p>
    <w:p w14:paraId="516C0725"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/>
        <w:snapToGrid/>
        <w:spacing w:line="590" w:lineRule="atLeast"/>
        <w:ind w:firstLine="640" w:firstLineChars="200"/>
        <w:textAlignment w:val="auto"/>
        <w:rPr>
          <w:rFonts w:hint="default" w:ascii="Times New Roman" w:hAnsi="Times New Roman" w:eastAsia="方正仿宋_GBK" w:cs="Times New Roman"/>
          <w:sz w:val="32"/>
          <w:szCs w:val="32"/>
        </w:rPr>
      </w:pPr>
      <w:r>
        <w:rPr>
          <w:rFonts w:hint="default" w:ascii="Times New Roman" w:hAnsi="Times New Roman" w:eastAsia="方正楷体_GBK" w:cs="Times New Roman"/>
          <w:sz w:val="32"/>
          <w:szCs w:val="32"/>
        </w:rPr>
        <w:t>23.支持企业开展进出口业务。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对进出口企业投保出口信用保险，开展境外商标注册、境外专利申请给予支持。对新获批AEO认证的企业给予支持。对企业在国（境）外建设或租赁海外仓给予支持。</w:t>
      </w:r>
    </w:p>
    <w:p w14:paraId="44E55C7D"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/>
        <w:snapToGrid/>
        <w:spacing w:line="590" w:lineRule="atLeast"/>
        <w:ind w:firstLine="640" w:firstLineChars="200"/>
        <w:textAlignment w:val="auto"/>
        <w:rPr>
          <w:rFonts w:hint="default" w:ascii="Times New Roman" w:hAnsi="Times New Roman" w:eastAsia="方正仿宋_GBK" w:cs="Times New Roman"/>
          <w:sz w:val="32"/>
          <w:szCs w:val="32"/>
        </w:rPr>
      </w:pPr>
      <w:r>
        <w:rPr>
          <w:rFonts w:hint="default" w:ascii="Times New Roman" w:hAnsi="Times New Roman" w:eastAsia="方正楷体_GBK" w:cs="Times New Roman"/>
          <w:sz w:val="32"/>
          <w:szCs w:val="32"/>
        </w:rPr>
        <w:t>24.支持企业参与国际经贸交流。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对企业参加境外展会、组织或参加境外国际性活动给予支持。</w:t>
      </w:r>
    </w:p>
    <w:p w14:paraId="31712378"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/>
        <w:snapToGrid/>
        <w:spacing w:line="590" w:lineRule="atLeast"/>
        <w:ind w:firstLine="640" w:firstLineChars="200"/>
        <w:textAlignment w:val="auto"/>
        <w:rPr>
          <w:rFonts w:hint="default" w:ascii="Times New Roman" w:hAnsi="Times New Roman" w:eastAsia="方正仿宋_GBK" w:cs="Times New Roman"/>
          <w:sz w:val="32"/>
          <w:szCs w:val="32"/>
        </w:rPr>
      </w:pPr>
      <w:r>
        <w:rPr>
          <w:rFonts w:hint="default" w:ascii="Times New Roman" w:hAnsi="Times New Roman" w:eastAsia="方正楷体_GBK" w:cs="Times New Roman"/>
          <w:sz w:val="32"/>
          <w:szCs w:val="32"/>
        </w:rPr>
        <w:t>25.支持跨境电商主体发展。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对为跨境电商企业提供跨境支付、物流、营销推广等服务的企业给予支持。</w:t>
      </w:r>
    </w:p>
    <w:p w14:paraId="200D66E0"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/>
        <w:snapToGrid/>
        <w:spacing w:line="590" w:lineRule="atLeast"/>
        <w:ind w:firstLine="640" w:firstLineChars="200"/>
        <w:textAlignment w:val="auto"/>
        <w:rPr>
          <w:rFonts w:hint="eastAsia" w:ascii="方正黑体_GBK" w:hAnsi="方正黑体_GBK" w:eastAsia="方正黑体_GBK" w:cs="方正黑体_GBK"/>
          <w:sz w:val="32"/>
          <w:szCs w:val="32"/>
        </w:rPr>
      </w:pPr>
      <w:r>
        <w:rPr>
          <w:rFonts w:hint="eastAsia" w:ascii="方正黑体_GBK" w:hAnsi="方正黑体_GBK" w:eastAsia="方正黑体_GBK" w:cs="方正黑体_GBK"/>
          <w:sz w:val="32"/>
          <w:szCs w:val="32"/>
        </w:rPr>
        <w:t>八、附则</w:t>
      </w:r>
    </w:p>
    <w:p w14:paraId="185327F5"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/>
        <w:snapToGrid/>
        <w:spacing w:line="590" w:lineRule="atLeast"/>
        <w:ind w:firstLine="640" w:firstLineChars="200"/>
        <w:textAlignment w:val="auto"/>
        <w:rPr>
          <w:rFonts w:hint="default" w:ascii="Times New Roman" w:hAnsi="Times New Roman" w:eastAsia="方正仿宋_GBK" w:cs="Times New Roman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sz w:val="32"/>
          <w:szCs w:val="32"/>
        </w:rPr>
        <w:t>26.本政策支持范围为在市内从事生产经营活动，中药材种子种苗、中药材、药品、医疗器械、化妆品、保健食品、特殊医学用途配方食品、大健康产品等领域研发、生产、商贸、专业服务的企事业单位或民办非企业单位。企业已获得国家或省级同类奖补的同一事项，原则上市级不再重复支持。与我市其他同类政策有重复的，按照</w:t>
      </w:r>
      <w:r>
        <w:rPr>
          <w:rFonts w:hint="eastAsia" w:ascii="Times New Roman" w:hAnsi="Times New Roman" w:eastAsia="方正仿宋_GBK" w:cs="Times New Roman"/>
          <w:sz w:val="32"/>
          <w:szCs w:val="32"/>
          <w:lang w:eastAsia="zh-CN"/>
        </w:rPr>
        <w:t>“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从优、就高、不重复</w:t>
      </w:r>
      <w:r>
        <w:rPr>
          <w:rFonts w:hint="eastAsia" w:ascii="Times New Roman" w:hAnsi="Times New Roman" w:eastAsia="方正仿宋_GBK" w:cs="Times New Roman"/>
          <w:sz w:val="32"/>
          <w:szCs w:val="32"/>
          <w:lang w:eastAsia="zh-CN"/>
        </w:rPr>
        <w:t>”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的原则予以支持，单个企业每年累计支持金额不超过1亿元。</w:t>
      </w:r>
    </w:p>
    <w:p w14:paraId="45CC992D"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/>
        <w:snapToGrid/>
        <w:spacing w:line="590" w:lineRule="atLeast"/>
        <w:ind w:firstLine="640" w:firstLineChars="200"/>
        <w:textAlignment w:val="auto"/>
        <w:rPr>
          <w:rFonts w:hint="default" w:ascii="Times New Roman" w:hAnsi="Times New Roman" w:eastAsia="方正仿宋_GBK" w:cs="Times New Roman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sz w:val="32"/>
          <w:szCs w:val="32"/>
        </w:rPr>
        <w:t>27.政策兑现责任单位制定申报指南或实施细则，明确政策兑现流程，根据扶持企业实际生产经营情况，可分阶段兑现奖补资金。市级所需资金实行预算管理，由相关主管部门按照总额控制及按实际足额兑付的原则实施。对弄虚作假、骗取奖补资金的，追回已拨付资金，并纳入亳州市信用信息公示平台黑名单；情节严重的，依法依规追究相关单位和人员责任。实施过程中，上级如有新的更优政策出台，或本政策与上级政策冲突，则从其规定执行。</w:t>
      </w:r>
    </w:p>
    <w:p w14:paraId="49CB7092"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/>
        <w:snapToGrid/>
        <w:spacing w:line="590" w:lineRule="atLeast"/>
        <w:ind w:firstLine="640" w:firstLineChars="200"/>
        <w:textAlignment w:val="auto"/>
        <w:rPr>
          <w:rFonts w:hint="default" w:ascii="Times New Roman" w:hAnsi="Times New Roman" w:eastAsia="方正仿宋_GBK" w:cs="Times New Roman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sz w:val="32"/>
          <w:szCs w:val="32"/>
        </w:rPr>
        <w:t>28.本政策自印发之日起实施，有效期3年。</w:t>
      </w:r>
    </w:p>
    <w:p w14:paraId="45935F1E"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/>
        <w:snapToGrid/>
        <w:spacing w:line="590" w:lineRule="atLeast"/>
        <w:ind w:firstLine="640" w:firstLineChars="200"/>
        <w:textAlignment w:val="auto"/>
        <w:rPr>
          <w:rFonts w:hint="default" w:ascii="Times New Roman" w:hAnsi="Times New Roman" w:eastAsia="方正仿宋_GBK" w:cs="Times New Roman"/>
          <w:sz w:val="32"/>
          <w:szCs w:val="32"/>
        </w:rPr>
      </w:pPr>
    </w:p>
    <w:p w14:paraId="17609F4E"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/>
        <w:snapToGrid/>
        <w:spacing w:line="600" w:lineRule="exact"/>
        <w:textAlignment w:val="auto"/>
        <w:rPr>
          <w:rFonts w:hint="eastAsia" w:ascii="Times New Roman" w:hAnsi="Times New Roman" w:eastAsia="方正仿宋_GBK" w:cs="Times New Roman"/>
          <w:sz w:val="32"/>
          <w:szCs w:val="32"/>
          <w:lang w:val="en-US" w:eastAsia="zh-CN"/>
        </w:rPr>
      </w:pPr>
    </w:p>
    <w:p w14:paraId="6A4907F4"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/>
        <w:snapToGrid/>
        <w:spacing w:line="600" w:lineRule="exact"/>
        <w:textAlignment w:val="auto"/>
        <w:rPr>
          <w:rFonts w:hint="eastAsia" w:ascii="Times New Roman" w:hAnsi="Times New Roman" w:eastAsia="方正仿宋_GBK" w:cs="Times New Roman"/>
          <w:sz w:val="32"/>
          <w:szCs w:val="32"/>
          <w:lang w:val="en-US" w:eastAsia="zh-CN"/>
        </w:rPr>
      </w:pPr>
    </w:p>
    <w:p w14:paraId="2DB061D7"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/>
        <w:snapToGrid/>
        <w:spacing w:line="600" w:lineRule="exact"/>
        <w:textAlignment w:val="auto"/>
        <w:rPr>
          <w:rFonts w:hint="eastAsia" w:ascii="Times New Roman" w:hAnsi="Times New Roman" w:eastAsia="方正仿宋_GBK" w:cs="Times New Roman"/>
          <w:sz w:val="32"/>
          <w:szCs w:val="32"/>
          <w:lang w:val="en-US" w:eastAsia="zh-CN"/>
        </w:rPr>
      </w:pPr>
    </w:p>
    <w:p w14:paraId="10A7033F"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/>
        <w:snapToGrid/>
        <w:spacing w:line="600" w:lineRule="exact"/>
        <w:textAlignment w:val="auto"/>
        <w:rPr>
          <w:rFonts w:hint="eastAsia" w:ascii="Times New Roman" w:hAnsi="Times New Roman" w:eastAsia="方正仿宋_GBK" w:cs="Times New Roman"/>
          <w:sz w:val="32"/>
          <w:szCs w:val="32"/>
          <w:lang w:val="en-US" w:eastAsia="zh-CN"/>
        </w:rPr>
      </w:pPr>
    </w:p>
    <w:p w14:paraId="0C2C2684"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/>
        <w:snapToGrid/>
        <w:spacing w:line="600" w:lineRule="exact"/>
        <w:textAlignment w:val="auto"/>
        <w:rPr>
          <w:rFonts w:hint="eastAsia" w:ascii="Times New Roman" w:hAnsi="Times New Roman" w:eastAsia="方正仿宋_GBK" w:cs="Times New Roman"/>
          <w:sz w:val="32"/>
          <w:szCs w:val="32"/>
          <w:lang w:val="en-US" w:eastAsia="zh-CN"/>
        </w:rPr>
      </w:pPr>
    </w:p>
    <w:p w14:paraId="4D18F78B"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/>
        <w:snapToGrid/>
        <w:spacing w:line="600" w:lineRule="exact"/>
        <w:textAlignment w:val="auto"/>
        <w:rPr>
          <w:rFonts w:hint="eastAsia" w:ascii="Times New Roman" w:hAnsi="Times New Roman" w:eastAsia="方正仿宋_GBK" w:cs="Times New Roman"/>
          <w:sz w:val="32"/>
          <w:szCs w:val="32"/>
          <w:lang w:val="en-US" w:eastAsia="zh-CN"/>
        </w:rPr>
      </w:pPr>
    </w:p>
    <w:p w14:paraId="43FDE221"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/>
        <w:snapToGrid/>
        <w:spacing w:line="600" w:lineRule="exact"/>
        <w:textAlignment w:val="auto"/>
        <w:rPr>
          <w:rFonts w:hint="eastAsia" w:ascii="Times New Roman" w:hAnsi="Times New Roman" w:eastAsia="方正仿宋_GBK" w:cs="Times New Roman"/>
          <w:sz w:val="32"/>
          <w:szCs w:val="32"/>
          <w:lang w:val="en-US" w:eastAsia="zh-CN"/>
        </w:rPr>
      </w:pPr>
    </w:p>
    <w:p w14:paraId="2E9164EB"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/>
        <w:snapToGrid/>
        <w:spacing w:line="600" w:lineRule="exact"/>
        <w:textAlignment w:val="auto"/>
        <w:rPr>
          <w:rFonts w:hint="eastAsia" w:ascii="Times New Roman" w:hAnsi="Times New Roman" w:eastAsia="方正仿宋_GBK" w:cs="Times New Roman"/>
          <w:sz w:val="32"/>
          <w:szCs w:val="32"/>
          <w:lang w:val="en-US" w:eastAsia="zh-CN"/>
        </w:rPr>
      </w:pPr>
    </w:p>
    <w:p w14:paraId="0CEE0AE6"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/>
        <w:snapToGrid/>
        <w:spacing w:line="600" w:lineRule="exact"/>
        <w:textAlignment w:val="auto"/>
        <w:rPr>
          <w:rFonts w:hint="eastAsia" w:ascii="Times New Roman" w:hAnsi="Times New Roman" w:eastAsia="方正仿宋_GBK" w:cs="Times New Roman"/>
          <w:sz w:val="32"/>
          <w:szCs w:val="32"/>
          <w:lang w:val="en-US" w:eastAsia="zh-CN"/>
        </w:rPr>
      </w:pPr>
    </w:p>
    <w:p w14:paraId="6BF9B013"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/>
        <w:snapToGrid/>
        <w:spacing w:line="600" w:lineRule="exact"/>
        <w:textAlignment w:val="auto"/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</w:pPr>
      <w:r>
        <w:rPr>
          <w:rFonts w:hint="eastAsia" w:ascii="Times New Roman" w:hAnsi="Times New Roman" w:eastAsia="方正仿宋_GBK" w:cs="Times New Roman"/>
          <w:sz w:val="32"/>
          <w:szCs w:val="32"/>
          <w:lang w:val="en-US" w:eastAsia="zh-CN"/>
        </w:rPr>
        <w:t>BZG-2026-01-01</w:t>
      </w:r>
    </w:p>
    <w:p w14:paraId="63E1EA57"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/>
        <w:snapToGrid/>
        <w:spacing w:line="100" w:lineRule="exact"/>
        <w:ind w:firstLine="640" w:firstLineChars="200"/>
        <w:textAlignment w:val="auto"/>
        <w:rPr>
          <w:rFonts w:hint="default" w:ascii="Times New Roman" w:hAnsi="Times New Roman" w:eastAsia="方正仿宋_GBK" w:cs="Times New Roman"/>
          <w:sz w:val="32"/>
          <w:szCs w:val="32"/>
        </w:rPr>
      </w:pPr>
    </w:p>
    <w:p w14:paraId="34958EAA"/>
    <w:p w14:paraId="34729044">
      <w:pPr>
        <w:pStyle w:val="7"/>
        <w:spacing w:before="0" w:beforeAutospacing="0" w:after="0" w:afterAutospacing="0" w:line="600" w:lineRule="exact"/>
        <w:ind w:right="-734" w:firstLine="320" w:firstLineChars="100"/>
        <w:jc w:val="both"/>
        <w:rPr>
          <w:rFonts w:hint="default" w:ascii="Times New Roman" w:hAnsi="Times New Roman" w:eastAsia="方正仿宋_GBK" w:cs="Times New Roman"/>
          <w:sz w:val="32"/>
          <w:szCs w:val="32"/>
        </w:rPr>
      </w:pPr>
    </w:p>
    <w:sectPr>
      <w:headerReference r:id="rId3" w:type="default"/>
      <w:footerReference r:id="rId4" w:type="default"/>
      <w:pgSz w:w="11906" w:h="16838"/>
      <w:pgMar w:top="1962" w:right="1474" w:bottom="1848" w:left="1587" w:header="851" w:footer="992" w:gutter="0"/>
      <w:pgNumType w:fmt="numberInDash"/>
      <w:cols w:space="72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仿宋简体">
    <w:altName w:val="方正仿宋_GBK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方正仿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黑体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国标仿宋">
    <w:altName w:val="方正仿宋_GBK"/>
    <w:panose1 w:val="02000500000000000000"/>
    <w:charset w:val="00"/>
    <w:family w:val="auto"/>
    <w:pitch w:val="default"/>
    <w:sig w:usb0="00000000" w:usb1="00000000" w:usb2="00000016" w:usb3="00000000" w:csb0="00060007" w:csb1="00000000"/>
  </w:font>
  <w:font w:name="国标楷体">
    <w:altName w:val="方正楷体_GBK"/>
    <w:panose1 w:val="02000500000000000000"/>
    <w:charset w:val="00"/>
    <w:family w:val="auto"/>
    <w:pitch w:val="default"/>
    <w:sig w:usb0="00000000" w:usb1="00000000" w:usb2="00000000" w:usb3="00000000" w:csb0="00060007" w:csb1="00000000"/>
  </w:font>
  <w:font w:name="方正楷体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国标黑体">
    <w:altName w:val="方正黑体_GBK"/>
    <w:panose1 w:val="02000500000000000000"/>
    <w:charset w:val="86"/>
    <w:family w:val="auto"/>
    <w:pitch w:val="default"/>
    <w:sig w:usb0="00000000" w:usb1="0000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A1A56A1">
    <w:pPr>
      <w:pStyle w:val="6"/>
      <w:ind w:left="4788" w:leftChars="2280" w:firstLine="6400" w:firstLineChars="2000"/>
      <w:rPr>
        <w:rFonts w:hint="eastAsia" w:eastAsia="仿宋"/>
        <w:sz w:val="32"/>
        <w:szCs w:val="48"/>
        <w:lang w:val="en-US" w:eastAsia="zh-CN"/>
      </w:rPr>
    </w:pPr>
    <w:r>
      <w:rPr>
        <w:sz w:val="32"/>
      </w:rPr>
      <mc:AlternateContent>
        <mc:Choice Requires="wps">
          <w:drawing>
            <wp:anchor distT="0" distB="0" distL="114300" distR="114300" simplePos="0" relativeHeight="251661312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8" name="文本框 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14:paraId="6FA83FDE">
                          <w:pPr>
                            <w:pStyle w:val="5"/>
                          </w:pP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t>- 1 -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61312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6FA83FDE">
                    <w:pPr>
                      <w:pStyle w:val="5"/>
                    </w:pP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t>- 1 -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rFonts w:hint="eastAsia" w:eastAsia="仿宋"/>
        <w:sz w:val="32"/>
        <w:szCs w:val="48"/>
        <w:lang w:val="en-US" w:eastAsia="zh-CN"/>
      </w:rPr>
      <w:t xml:space="preserve">  </w:t>
    </w:r>
  </w:p>
  <w:p w14:paraId="2B450242">
    <w:pPr>
      <w:pStyle w:val="6"/>
      <w:wordWrap w:val="0"/>
      <w:ind w:left="4788" w:leftChars="2280" w:firstLine="6400" w:firstLineChars="2000"/>
      <w:jc w:val="right"/>
      <w:rPr>
        <w:rFonts w:hint="eastAsia" w:ascii="宋体" w:hAnsi="宋体" w:eastAsia="宋体" w:cs="宋体"/>
        <w:b/>
        <w:bCs/>
        <w:color w:val="005192"/>
        <w:sz w:val="28"/>
        <w:szCs w:val="44"/>
        <w:lang w:val="en-US" w:eastAsia="zh-CN"/>
      </w:rPr>
    </w:pPr>
    <w:r>
      <w:rPr>
        <w:color w:val="FAFAFA"/>
        <w:sz w:val="32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column">
                <wp:posOffset>0</wp:posOffset>
              </wp:positionH>
              <wp:positionV relativeFrom="paragraph">
                <wp:posOffset>74295</wp:posOffset>
              </wp:positionV>
              <wp:extent cx="5616575" cy="1905"/>
              <wp:effectExtent l="0" t="10795" r="3175" b="15875"/>
              <wp:wrapNone/>
              <wp:docPr id="5" name="直接连接符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616575" cy="1905"/>
                      </a:xfrm>
                      <a:prstGeom prst="line">
                        <a:avLst/>
                      </a:prstGeom>
                      <a:noFill/>
                      <a:ln w="22225" cap="flat" cmpd="sng" algn="ctr">
                        <a:solidFill>
                          <a:srgbClr val="005192"/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line id="_x0000_s1026" o:spid="_x0000_s1026" o:spt="20" style="position:absolute;left:0pt;margin-left:0pt;margin-top:5.85pt;height:0.15pt;width:442.25pt;z-index:251660288;mso-width-relative:page;mso-height-relative:page;" filled="f" stroked="t" coordsize="21600,21600" o:gfxdata="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">
              <v:fill on="f" focussize="0,0"/>
              <v:stroke weight="1.75pt" color="#005192" miterlimit="8" joinstyle="miter"/>
              <v:imagedata o:title=""/>
              <o:lock v:ext="edit" aspectratio="f"/>
            </v:line>
          </w:pict>
        </mc:Fallback>
      </mc:AlternateContent>
    </w:r>
    <w:r>
      <w:rPr>
        <w:rFonts w:hint="eastAsia" w:eastAsia="仿宋"/>
        <w:color w:val="FAFAFA"/>
        <w:sz w:val="32"/>
        <w:szCs w:val="48"/>
        <w:lang w:val="en-US" w:eastAsia="zh-CN"/>
      </w:rPr>
      <w:t>X</w:t>
    </w:r>
    <w:r>
      <w:rPr>
        <w:rFonts w:hint="eastAsia" w:ascii="宋体" w:hAnsi="宋体" w:eastAsia="宋体" w:cs="宋体"/>
        <w:b/>
        <w:bCs/>
        <w:color w:val="005192"/>
        <w:sz w:val="28"/>
        <w:szCs w:val="28"/>
        <w:lang w:val="en-US" w:eastAsia="zh-CN"/>
      </w:rPr>
      <w:t>亳州市人民政府办公室发布</w:t>
    </w:r>
    <w:r>
      <w:rPr>
        <w:rFonts w:hint="eastAsia" w:ascii="宋体" w:hAnsi="宋体" w:eastAsia="宋体" w:cs="宋体"/>
        <w:b/>
        <w:bCs/>
        <w:color w:val="005192"/>
        <w:sz w:val="32"/>
        <w:szCs w:val="32"/>
        <w:lang w:val="en-US" w:eastAsia="zh-CN"/>
      </w:rPr>
      <w:t xml:space="preserve"> </w:t>
    </w:r>
    <w:r>
      <w:rPr>
        <w:rFonts w:hint="eastAsia" w:ascii="宋体" w:hAnsi="宋体" w:eastAsia="宋体" w:cs="宋体"/>
        <w:b/>
        <w:bCs/>
        <w:color w:val="005192"/>
        <w:sz w:val="28"/>
        <w:szCs w:val="44"/>
        <w:lang w:val="en-US" w:eastAsia="zh-CN"/>
      </w:rPr>
      <w:t xml:space="preserve">   </w:t>
    </w:r>
  </w:p>
  <w:p w14:paraId="6A41ED1B">
    <w:pPr>
      <w:pStyle w:val="6"/>
      <w:wordWrap w:val="0"/>
      <w:ind w:left="4788" w:leftChars="2280" w:firstLine="5622" w:firstLineChars="2000"/>
      <w:jc w:val="right"/>
      <w:rPr>
        <w:rFonts w:hint="eastAsia" w:ascii="宋体" w:hAnsi="宋体" w:eastAsia="宋体" w:cs="宋体"/>
        <w:b/>
        <w:bCs/>
        <w:color w:val="005192"/>
        <w:sz w:val="28"/>
        <w:szCs w:val="44"/>
        <w:lang w:val="en-US" w:eastAsia="zh-CN"/>
      </w:rPr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C9BF219">
    <w:pPr>
      <w:pStyle w:val="6"/>
      <w:keepNext w:val="0"/>
      <w:keepLines w:val="0"/>
      <w:pageBreakBefore w:val="0"/>
      <w:widowControl w:val="0"/>
      <w:kinsoku/>
      <w:wordWrap/>
      <w:overflowPunct/>
      <w:topLinePunct w:val="0"/>
      <w:autoSpaceDE/>
      <w:autoSpaceDN/>
      <w:bidi w:val="0"/>
      <w:adjustRightInd/>
      <w:snapToGrid w:val="0"/>
      <w:textAlignment w:val="center"/>
      <w:rPr>
        <w:rFonts w:hint="eastAsia" w:ascii="宋体" w:hAnsi="宋体" w:eastAsia="宋体" w:cs="宋体"/>
        <w:b/>
        <w:bCs/>
        <w:color w:val="005192"/>
        <w:sz w:val="32"/>
      </w:rPr>
    </w:pPr>
    <w:r>
      <w:rPr>
        <w:rFonts w:hint="eastAsia" w:ascii="宋体" w:hAnsi="宋体" w:eastAsia="宋体" w:cs="宋体"/>
        <w:b/>
        <w:bCs/>
        <w:color w:val="005192"/>
        <w:sz w:val="32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-3810</wp:posOffset>
              </wp:positionH>
              <wp:positionV relativeFrom="paragraph">
                <wp:posOffset>690245</wp:posOffset>
              </wp:positionV>
              <wp:extent cx="5620385" cy="0"/>
              <wp:effectExtent l="0" t="10795" r="18415" b="17780"/>
              <wp:wrapNone/>
              <wp:docPr id="4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4133850" y="864870"/>
                        <a:ext cx="5620385" cy="0"/>
                      </a:xfrm>
                      <a:prstGeom prst="line">
                        <a:avLst/>
                      </a:prstGeom>
                      <a:noFill/>
                      <a:ln w="22225" cap="flat" cmpd="sng" algn="ctr">
                        <a:solidFill>
                          <a:srgbClr val="005192"/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line id="_x0000_s1026" o:spid="_x0000_s1026" o:spt="20" style="position:absolute;left:0pt;margin-left:-0.3pt;margin-top:54.35pt;height:0pt;width:442.55pt;z-index:251659264;mso-width-relative:page;mso-height-relative:page;" filled="f" stroked="t" coordsize="21600,21600" o:gfxdata="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">
              <v:fill on="f" focussize="0,0"/>
              <v:stroke weight="1.75pt" color="#005192" miterlimit="8" joinstyle="miter"/>
              <v:imagedata o:title=""/>
              <o:lock v:ext="edit" aspectratio="f"/>
            </v:line>
          </w:pict>
        </mc:Fallback>
      </mc:AlternateContent>
    </w:r>
  </w:p>
  <w:p w14:paraId="703C319F">
    <w:pPr>
      <w:pStyle w:val="6"/>
      <w:keepNext w:val="0"/>
      <w:keepLines w:val="0"/>
      <w:pageBreakBefore w:val="0"/>
      <w:widowControl w:val="0"/>
      <w:kinsoku/>
      <w:wordWrap/>
      <w:overflowPunct/>
      <w:topLinePunct w:val="0"/>
      <w:autoSpaceDE/>
      <w:autoSpaceDN/>
      <w:bidi w:val="0"/>
      <w:adjustRightInd/>
      <w:snapToGrid w:val="0"/>
      <w:textAlignment w:val="center"/>
      <w:rPr>
        <w:rFonts w:hint="eastAsia" w:ascii="宋体" w:hAnsi="宋体" w:eastAsia="宋体" w:cs="宋体"/>
        <w:b/>
        <w:bCs/>
        <w:color w:val="005192"/>
        <w:sz w:val="32"/>
        <w:szCs w:val="32"/>
        <w:lang w:val="en-US" w:eastAsia="zh-CN"/>
      </w:rPr>
    </w:pPr>
    <w:r>
      <w:rPr>
        <w:rFonts w:hint="eastAsia" w:ascii="宋体" w:hAnsi="宋体" w:eastAsia="宋体" w:cs="宋体"/>
        <w:b/>
        <w:bCs/>
        <w:color w:val="005192"/>
        <w:sz w:val="32"/>
      </w:rPr>
      <w:drawing>
        <wp:inline distT="0" distB="0" distL="114300" distR="114300">
          <wp:extent cx="308610" cy="308610"/>
          <wp:effectExtent l="0" t="0" r="15240" b="15240"/>
          <wp:docPr id="1" name="图片 1" descr="国徽102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图片 1" descr="国徽1024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308610" cy="3086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hint="eastAsia" w:ascii="宋体" w:hAnsi="宋体" w:eastAsia="宋体" w:cs="宋体"/>
        <w:b/>
        <w:bCs/>
        <w:color w:val="005192"/>
        <w:sz w:val="32"/>
        <w:lang w:val="en-US" w:eastAsia="zh-CN"/>
      </w:rPr>
      <w:t>亳州市人民政府行政</w:t>
    </w:r>
    <w:r>
      <w:rPr>
        <w:rFonts w:hint="eastAsia" w:ascii="宋体" w:hAnsi="宋体" w:eastAsia="宋体" w:cs="宋体"/>
        <w:b/>
        <w:bCs/>
        <w:color w:val="005192"/>
        <w:sz w:val="32"/>
        <w:szCs w:val="32"/>
        <w:lang w:val="en-US" w:eastAsia="zh-CN"/>
      </w:rPr>
      <w:t>规范性文件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hdrShapeDefaults>
    <o:shapelayout v:ext="edit">
      <o:idmap v:ext="edit" data="3"/>
    </o:shapelayout>
  </w:hdrShapeDefaults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DcyNjc3YWM5NGYyODYxNDE1ODhkZTI5ZTViNmNkZDAifQ=="/>
  </w:docVars>
  <w:rsids>
    <w:rsidRoot w:val="00172A27"/>
    <w:rsid w:val="378D688D"/>
    <w:rsid w:val="3868100C"/>
    <w:rsid w:val="47F343E9"/>
    <w:rsid w:val="4A161F6E"/>
    <w:rsid w:val="4D0F6EC5"/>
    <w:rsid w:val="55FB3DAD"/>
    <w:rsid w:val="5876631B"/>
    <w:rsid w:val="5EDB2F06"/>
    <w:rsid w:val="5FF626F2"/>
    <w:rsid w:val="7129478D"/>
    <w:rsid w:val="72775C72"/>
    <w:rsid w:val="728C5ACB"/>
    <w:rsid w:val="7B281C48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qFormat="1"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3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character" w:default="1" w:styleId="10">
    <w:name w:val="Default Paragraph Font"/>
    <w:semiHidden/>
    <w:qFormat/>
    <w:uiPriority w:val="0"/>
  </w:style>
  <w:style w:type="table" w:default="1" w:styleId="8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Indent 2"/>
    <w:basedOn w:val="1"/>
    <w:qFormat/>
    <w:uiPriority w:val="0"/>
    <w:pPr>
      <w:spacing w:afterLines="0" w:line="580" w:lineRule="exact"/>
      <w:ind w:left="0" w:leftChars="0" w:firstLine="840" w:firstLineChars="200"/>
    </w:pPr>
    <w:rPr>
      <w:rFonts w:ascii="Times New Roman" w:hAnsi="Times New Roman" w:eastAsia="仿宋_GB2312"/>
      <w:sz w:val="30"/>
    </w:rPr>
  </w:style>
  <w:style w:type="paragraph" w:styleId="4">
    <w:name w:val="annotation text"/>
    <w:basedOn w:val="1"/>
    <w:qFormat/>
    <w:uiPriority w:val="0"/>
    <w:pPr>
      <w:jc w:val="left"/>
    </w:pPr>
  </w:style>
  <w:style w:type="paragraph" w:styleId="5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6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7">
    <w:name w:val="Normal (Web)"/>
    <w:basedOn w:val="1"/>
    <w:qFormat/>
    <w:uiPriority w:val="0"/>
    <w:pPr>
      <w:spacing w:before="100" w:beforeAutospacing="1" w:after="10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9">
    <w:name w:val="Table Grid"/>
    <w:basedOn w:val="8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0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1">
    <w:name w:val="page number"/>
    <w:basedOn w:val="10"/>
    <w:qFormat/>
    <w:uiPriority w:val="0"/>
  </w:style>
  <w:style w:type="paragraph" w:customStyle="1" w:styleId="12">
    <w:name w:val="仿宋正文"/>
    <w:basedOn w:val="1"/>
    <w:qFormat/>
    <w:uiPriority w:val="0"/>
    <w:pPr>
      <w:spacing w:line="600" w:lineRule="exact"/>
      <w:ind w:firstLine="420" w:firstLineChars="200"/>
    </w:pPr>
    <w:rPr>
      <w:rFonts w:eastAsia="方正仿宋简体"/>
      <w:szCs w:val="32"/>
    </w:rPr>
  </w:style>
  <w:style w:type="paragraph" w:customStyle="1" w:styleId="13">
    <w:name w:val="列出段落1"/>
    <w:basedOn w:val="1"/>
    <w:qFormat/>
    <w:uiPriority w:val="99"/>
    <w:pPr>
      <w:ind w:firstLine="420" w:firstLineChars="200"/>
    </w:pPr>
  </w:style>
  <w:style w:type="paragraph" w:customStyle="1" w:styleId="14">
    <w:name w:val="Char"/>
    <w:basedOn w:val="1"/>
    <w:qFormat/>
    <w:uiPriority w:val="0"/>
    <w:pPr>
      <w:spacing w:before="100" w:beforeLines="0" w:beforeAutospacing="1" w:after="100" w:afterLines="0" w:afterAutospacing="1"/>
    </w:p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Kingsoft</Company>
  <Pages>10</Pages>
  <Words>3372</Words>
  <Characters>3572</Characters>
  <Lines>0</Lines>
  <Paragraphs>0</Paragraphs>
  <TotalTime>16</TotalTime>
  <ScaleCrop>false</ScaleCrop>
  <LinksUpToDate>false</LinksUpToDate>
  <CharactersWithSpaces>3581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齐柏林</cp:lastModifiedBy>
  <dcterms:modified xsi:type="dcterms:W3CDTF">2026-04-02T03:32:08Z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44C402D1BD274312B931B08488C6A760</vt:lpwstr>
  </property>
  <property fmtid="{D5CDD505-2E9C-101B-9397-08002B2CF9AE}" pid="4" name="KSOTemplateDocerSaveRecord">
    <vt:lpwstr>eyJoZGlkIjoiMDcyNjc3YWM5NGYyODYxNDE1ODhkZTI5ZTViNmNkZDAiLCJ1c2VySWQiOiIxMTAzOTE2Mzk0In0=</vt:lpwstr>
  </property>
</Properties>
</file>