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543CCF">
      <w:pPr>
        <w:keepNext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Lines="0" w:after="0" w:afterLines="0" w:line="590" w:lineRule="exact"/>
        <w:ind w:right="0" w:rightChars="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color w:val="000000"/>
          <w:sz w:val="32"/>
          <w:szCs w:val="32"/>
          <w:lang w:eastAsia="zh-CN"/>
        </w:rPr>
      </w:pPr>
    </w:p>
    <w:p w14:paraId="2D4BA930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2578EC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lang w:val="en-US" w:eastAsia="zh-CN" w:bidi="ar-SA"/>
        </w:rPr>
        <w:t>亳州市人民政府关于印发</w:t>
      </w:r>
    </w:p>
    <w:p w14:paraId="2A0490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lang w:val="en-US" w:eastAsia="zh-CN" w:bidi="ar-SA"/>
        </w:rPr>
        <w:t>亳州市支持科技创新与产业创新深度融合</w:t>
      </w:r>
    </w:p>
    <w:p w14:paraId="05C2E1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lang w:val="en-US" w:eastAsia="zh-CN" w:bidi="ar-SA"/>
        </w:rPr>
        <w:t>发展若干措施的通知</w:t>
      </w:r>
    </w:p>
    <w:p w14:paraId="0995A7C5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Times New Roman" w:hAnsi="Times New Roman" w:eastAsia="方正仿宋_GBK" w:cs="Times New Roman"/>
          <w:color w:val="00000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color w:val="000000"/>
          <w:sz w:val="32"/>
          <w:lang w:eastAsia="zh-CN"/>
        </w:rPr>
        <w:t>亳政秘</w:t>
      </w:r>
      <w:r>
        <w:rPr>
          <w:rFonts w:hint="default" w:ascii="Times New Roman" w:hAnsi="Times New Roman" w:eastAsia="方正仿宋_GBK" w:cs="Times New Roman"/>
          <w:color w:val="000000"/>
          <w:sz w:val="32"/>
          <w:szCs w:val="32"/>
        </w:rPr>
        <w:t>〔20</w:t>
      </w:r>
      <w:r>
        <w:rPr>
          <w:rFonts w:hint="eastAsia" w:ascii="Times New Roman" w:hAnsi="Times New Roman" w:eastAsia="方正仿宋_GBK" w:cs="Times New Roman"/>
          <w:color w:val="000000"/>
          <w:sz w:val="32"/>
          <w:szCs w:val="32"/>
          <w:lang w:val="en-US" w:eastAsia="zh-CN"/>
        </w:rPr>
        <w:t>26</w:t>
      </w:r>
      <w:r>
        <w:rPr>
          <w:rFonts w:hint="default" w:ascii="Times New Roman" w:hAnsi="Times New Roman" w:eastAsia="方正仿宋_GBK" w:cs="Times New Roman"/>
          <w:color w:val="000000"/>
          <w:sz w:val="32"/>
          <w:szCs w:val="32"/>
        </w:rPr>
        <w:t>〕</w:t>
      </w:r>
      <w:r>
        <w:rPr>
          <w:rFonts w:hint="eastAsia" w:ascii="Times New Roman" w:hAnsi="Times New Roman" w:eastAsia="方正仿宋_GBK" w:cs="Times New Roman"/>
          <w:color w:val="000000"/>
          <w:sz w:val="32"/>
          <w:szCs w:val="32"/>
          <w:lang w:val="en-US" w:eastAsia="zh-CN"/>
        </w:rPr>
        <w:t>20</w:t>
      </w:r>
      <w:r>
        <w:rPr>
          <w:rFonts w:hint="default" w:ascii="Times New Roman" w:hAnsi="Times New Roman" w:eastAsia="方正仿宋_GBK" w:cs="Times New Roman"/>
          <w:color w:val="000000"/>
          <w:sz w:val="32"/>
          <w:szCs w:val="32"/>
          <w:lang w:eastAsia="zh-CN"/>
        </w:rPr>
        <w:t>号</w:t>
      </w:r>
    </w:p>
    <w:p w14:paraId="6465E3DD">
      <w:pPr>
        <w:pStyle w:val="2"/>
        <w:keepLines w:val="0"/>
        <w:pageBreakBefore w:val="0"/>
        <w:widowControl w:val="0"/>
        <w:kinsoku/>
        <w:wordWrap/>
        <w:topLinePunct w:val="0"/>
        <w:bidi w:val="0"/>
        <w:adjustRightInd/>
        <w:snapToGrid/>
        <w:spacing w:line="590" w:lineRule="exact"/>
        <w:textAlignment w:val="auto"/>
        <w:rPr>
          <w:rFonts w:hint="default"/>
        </w:rPr>
      </w:pPr>
    </w:p>
    <w:p w14:paraId="63731A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both"/>
        <w:textAlignment w:val="auto"/>
        <w:rPr>
          <w:rFonts w:hint="eastAsia" w:ascii="方正仿宋_GBK" w:hAnsi="方正仿宋_GBK" w:eastAsia="方正仿宋_GBK" w:cs="方正仿宋_GBK"/>
          <w:b w:val="0"/>
          <w:bCs/>
          <w:i w:val="0"/>
          <w:color w:val="000000"/>
          <w:spacing w:val="0"/>
          <w:sz w:val="32"/>
          <w:szCs w:val="32"/>
          <w:u w:val="none"/>
          <w:shd w:val="clear" w:color="auto" w:fill="auto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/>
          <w:i w:val="0"/>
          <w:color w:val="000000"/>
          <w:spacing w:val="0"/>
          <w:sz w:val="32"/>
          <w:szCs w:val="32"/>
          <w:u w:val="none"/>
          <w:shd w:val="clear" w:color="auto" w:fill="auto"/>
          <w:lang w:eastAsia="zh-CN"/>
        </w:rPr>
        <w:t>各县、区人民政府，亳州高新区管委会、亳芜现代产业园区管委会，市政府各部门、各直属机构：</w:t>
      </w:r>
    </w:p>
    <w:p w14:paraId="76B6A9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eastAsia" w:ascii="方正仿宋_GBK" w:hAnsi="方正仿宋_GBK" w:eastAsia="方正仿宋_GBK" w:cs="方正仿宋_GBK"/>
          <w:b w:val="0"/>
          <w:bCs/>
          <w:i w:val="0"/>
          <w:color w:val="000000"/>
          <w:spacing w:val="0"/>
          <w:sz w:val="32"/>
          <w:szCs w:val="32"/>
          <w:u w:val="none"/>
          <w:shd w:val="clear" w:color="auto" w:fill="auto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/>
          <w:i w:val="0"/>
          <w:color w:val="000000"/>
          <w:spacing w:val="0"/>
          <w:sz w:val="32"/>
          <w:szCs w:val="32"/>
          <w:u w:val="none"/>
          <w:shd w:val="clear" w:color="auto" w:fill="auto"/>
          <w:lang w:eastAsia="zh-CN"/>
        </w:rPr>
        <w:t>《</w:t>
      </w: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val="en-US" w:eastAsia="zh-CN" w:bidi="ar-SA"/>
        </w:rPr>
        <w:t>亳州市支持科技创新与产业创新深度融合发展若干措施</w:t>
      </w:r>
      <w:r>
        <w:rPr>
          <w:rFonts w:hint="eastAsia" w:ascii="方正仿宋_GBK" w:hAnsi="方正仿宋_GBK" w:eastAsia="方正仿宋_GBK" w:cs="方正仿宋_GBK"/>
          <w:b w:val="0"/>
          <w:bCs/>
          <w:i w:val="0"/>
          <w:color w:val="000000"/>
          <w:spacing w:val="0"/>
          <w:sz w:val="32"/>
          <w:szCs w:val="32"/>
          <w:u w:val="none"/>
          <w:shd w:val="clear" w:color="auto" w:fill="auto"/>
          <w:lang w:eastAsia="zh-CN"/>
        </w:rPr>
        <w:t>》已经市政府研究同意，现印发给你们，请认真贯彻落实。</w:t>
      </w:r>
    </w:p>
    <w:p w14:paraId="623904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both"/>
        <w:textAlignment w:val="auto"/>
        <w:rPr>
          <w:rFonts w:hint="eastAsia" w:ascii="方正仿宋_GBK" w:hAnsi="方正仿宋_GBK" w:eastAsia="方正仿宋_GBK" w:cs="方正仿宋_GBK"/>
          <w:b w:val="0"/>
          <w:bCs/>
          <w:i w:val="0"/>
          <w:color w:val="000000"/>
          <w:spacing w:val="0"/>
          <w:sz w:val="32"/>
          <w:szCs w:val="32"/>
          <w:u w:val="none"/>
          <w:shd w:val="clear" w:color="auto" w:fill="auto"/>
          <w:lang w:eastAsia="zh-CN"/>
        </w:rPr>
      </w:pPr>
    </w:p>
    <w:p w14:paraId="0E7E53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both"/>
        <w:textAlignment w:val="auto"/>
        <w:rPr>
          <w:rFonts w:hint="eastAsia" w:ascii="方正仿宋_GBK" w:hAnsi="方正仿宋_GBK" w:eastAsia="方正仿宋_GBK" w:cs="方正仿宋_GBK"/>
          <w:b w:val="0"/>
          <w:bCs/>
          <w:i w:val="0"/>
          <w:color w:val="000000"/>
          <w:spacing w:val="0"/>
          <w:sz w:val="32"/>
          <w:szCs w:val="32"/>
          <w:u w:val="none"/>
          <w:shd w:val="clear" w:color="auto" w:fill="auto"/>
          <w:lang w:eastAsia="zh-CN"/>
        </w:rPr>
      </w:pPr>
    </w:p>
    <w:p w14:paraId="77654A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735" w:rightChars="350"/>
        <w:jc w:val="right"/>
        <w:textAlignment w:val="auto"/>
        <w:rPr>
          <w:rFonts w:hint="eastAsia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亳州市人民政府</w:t>
      </w:r>
    </w:p>
    <w:p w14:paraId="19B46D25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exact"/>
        <w:ind w:right="630" w:rightChars="300"/>
        <w:jc w:val="right"/>
        <w:textAlignment w:val="auto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202</w:t>
      </w:r>
      <w:r>
        <w:rPr>
          <w:rFonts w:hint="eastAsia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6</w:t>
      </w:r>
      <w:r>
        <w:rPr>
          <w:rFonts w:hint="eastAsia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年</w:t>
      </w:r>
      <w:r>
        <w:rPr>
          <w:rFonts w:hint="eastAsia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3</w:t>
      </w:r>
      <w:r>
        <w:rPr>
          <w:rFonts w:hint="eastAsia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月</w:t>
      </w:r>
      <w:r>
        <w:rPr>
          <w:rFonts w:hint="eastAsia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17</w:t>
      </w:r>
      <w:r>
        <w:rPr>
          <w:rFonts w:hint="eastAsia" w:ascii="方正仿宋_GBK" w:hAnsi="方正仿宋_GBK" w:eastAsia="方正仿宋_GBK" w:cs="方正仿宋_GBK"/>
          <w:b w:val="0"/>
          <w:bCs/>
          <w:i w:val="0"/>
          <w:color w:val="000000"/>
          <w:spacing w:val="0"/>
          <w:sz w:val="32"/>
          <w:szCs w:val="32"/>
          <w:u w:val="none"/>
          <w:shd w:val="clear" w:color="auto" w:fill="auto"/>
          <w:lang w:eastAsia="zh-CN"/>
        </w:rPr>
        <w:t>日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 xml:space="preserve"> </w:t>
      </w:r>
    </w:p>
    <w:p w14:paraId="0540477B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exact"/>
        <w:ind w:right="630" w:rightChars="300"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 xml:space="preserve">（此件公开发布）       </w:t>
      </w:r>
    </w:p>
    <w:p w14:paraId="364C4238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522E024E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45A231C7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 w:firstLine="0" w:firstLineChars="0"/>
        <w:jc w:val="both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</w:rPr>
      </w:pPr>
    </w:p>
    <w:p w14:paraId="3D7CECE7">
      <w:pPr>
        <w:pStyle w:val="2"/>
        <w:keepLines w:val="0"/>
        <w:pageBreakBefore w:val="0"/>
        <w:widowControl w:val="0"/>
        <w:kinsoku/>
        <w:wordWrap/>
        <w:topLinePunct w:val="0"/>
        <w:bidi w:val="0"/>
        <w:adjustRightInd/>
        <w:snapToGrid/>
        <w:spacing w:line="590" w:lineRule="exact"/>
        <w:textAlignment w:val="auto"/>
        <w:rPr>
          <w:rFonts w:hint="default"/>
        </w:rPr>
      </w:pPr>
    </w:p>
    <w:p w14:paraId="4F5C59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lang w:val="en-US" w:eastAsia="zh-CN" w:bidi="ar-SA"/>
        </w:rPr>
      </w:pPr>
    </w:p>
    <w:p w14:paraId="6DAE1B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lang w:val="en-US" w:eastAsia="zh-CN" w:bidi="ar-SA"/>
        </w:rPr>
      </w:pPr>
      <w:bookmarkStart w:id="0" w:name="_GoBack"/>
      <w:bookmarkEnd w:id="0"/>
      <w:r>
        <w:rPr>
          <w:rFonts w:hint="default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lang w:val="en-US" w:eastAsia="zh-CN" w:bidi="ar-SA"/>
        </w:rPr>
        <w:t>亳州市支持科技创新与产业创新深度融合</w:t>
      </w:r>
    </w:p>
    <w:p w14:paraId="2600D0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lang w:val="en-US" w:eastAsia="zh-CN" w:bidi="ar-SA"/>
        </w:rPr>
      </w:pPr>
      <w:r>
        <w:rPr>
          <w:rFonts w:hint="default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lang w:val="en-US" w:eastAsia="zh-CN" w:bidi="ar-SA"/>
        </w:rPr>
        <w:t>发展若干措施</w:t>
      </w:r>
    </w:p>
    <w:p w14:paraId="44B3BEB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</w:pPr>
    </w:p>
    <w:p w14:paraId="30EF351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为深入实施创新驱动发展战略，进一步强化企业创新主体地位，推动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我市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科技创新和产业创新深度融合，因地制宜发展新质生产力，制定以下支持措施。</w:t>
      </w:r>
    </w:p>
    <w:p w14:paraId="7F7BB7C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</w:pPr>
      <w:r>
        <w:rPr>
          <w:rFonts w:hint="default" w:ascii="Times New Roman" w:hAnsi="Times New Roman" w:eastAsia="方正黑体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一、支持企业加大研发经费投入</w:t>
      </w:r>
    </w:p>
    <w:p w14:paraId="65E8E63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落实企业享受研发费用加计扣除政策，对研发投入占营业收入比重3%以上且保持正增长的，按照研发经费投入增量100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万元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含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）</w:t>
      </w:r>
      <w:r>
        <w:rPr>
          <w:rFonts w:hint="eastAsia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—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300万元、300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万元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含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）</w:t>
      </w:r>
      <w:r>
        <w:rPr>
          <w:rFonts w:hint="eastAsia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—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600万元、600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万元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含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）</w:t>
      </w:r>
      <w:r>
        <w:rPr>
          <w:rFonts w:hint="eastAsia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—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1000万元、1000万元（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含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）以上分别给予最高不超过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5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万元、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10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万元、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20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万元、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30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万元的补助。</w:t>
      </w:r>
    </w:p>
    <w:p w14:paraId="50F2C41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</w:pPr>
      <w:r>
        <w:rPr>
          <w:rFonts w:hint="default" w:ascii="Times New Roman" w:hAnsi="Times New Roman" w:eastAsia="方正黑体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二、支持科技型企业扩量提质</w:t>
      </w:r>
    </w:p>
    <w:p w14:paraId="3CFDC0A4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4" w:right="283"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对新认定的科技领军企业、科技领军培育企业、科技领军种苗企业，分别给予最高不超过100万元、50万元、20万元的奖励。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对新认定的国家级专精特新</w:t>
      </w:r>
      <w:r>
        <w:rPr>
          <w:rFonts w:hint="eastAsia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“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小巨人</w:t>
      </w:r>
      <w:r>
        <w:rPr>
          <w:rFonts w:hint="eastAsia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”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企业、省级专精特新中小企业，分别给予最高不超过40万元、10万元的奖励。对新认定的国家知识产权示范企业，给予最高不超过10万元的奖励。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鼓励各县区对高新技术企业、科技型中小企业给予支持。</w:t>
      </w:r>
    </w:p>
    <w:p w14:paraId="0391D06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hint="default" w:ascii="Times New Roman" w:hAnsi="Times New Roman" w:eastAsia="方正黑体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三、支持产业关键核心技术攻关</w:t>
      </w:r>
    </w:p>
    <w:p w14:paraId="35FC2C4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围绕</w:t>
      </w:r>
      <w:r>
        <w:rPr>
          <w:rFonts w:hint="eastAsia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4662</w:t>
      </w:r>
      <w:r>
        <w:rPr>
          <w:rFonts w:hint="eastAsia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产业发展需求，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组织企业开展关键核心技术需求评比，依据评比结果给予单个项目最高不超过5万元的补助。采取</w:t>
      </w:r>
      <w:r>
        <w:rPr>
          <w:rFonts w:hint="eastAsia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公开竞争</w:t>
      </w:r>
      <w:r>
        <w:rPr>
          <w:rFonts w:hint="eastAsia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”“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定向委托</w:t>
      </w:r>
      <w:r>
        <w:rPr>
          <w:rFonts w:hint="eastAsia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”“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揭榜挂帅</w:t>
      </w:r>
      <w:r>
        <w:rPr>
          <w:rFonts w:hint="eastAsia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等方式实施</w:t>
      </w: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000000"/>
          <w:spacing w:val="0"/>
          <w:sz w:val="32"/>
          <w:szCs w:val="32"/>
          <w:shd w:val="clear" w:color="auto" w:fill="auto"/>
        </w:rPr>
        <w:t>市科技创新攻坚项目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原则上给予不超过项目研发总投入30%的补助，最高不超过100万元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。支持企业牵头组建创新联合体承担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攻坚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项目。对获得省科学技术奖一、二、三等奖的项目，分别给予第一完成单位最高不超过100万元、50万元、10万元的奖励。</w:t>
      </w:r>
    </w:p>
    <w:p w14:paraId="686C23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cs="Times New Roman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hint="default" w:ascii="Times New Roman" w:hAnsi="Times New Roman" w:eastAsia="方正黑体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四、</w:t>
      </w:r>
      <w:r>
        <w:rPr>
          <w:rFonts w:hint="default" w:ascii="Times New Roman" w:hAnsi="Times New Roman" w:eastAsia="方正黑体_GBK" w:cs="Times New Roman"/>
          <w:b w:val="0"/>
          <w:i w:val="0"/>
          <w:caps w:val="0"/>
          <w:color w:val="000000"/>
          <w:spacing w:val="0"/>
          <w:sz w:val="32"/>
          <w:szCs w:val="32"/>
          <w:shd w:val="clear" w:color="auto" w:fill="auto"/>
        </w:rPr>
        <w:t>支持产业创新平台建设</w:t>
      </w:r>
    </w:p>
    <w:p w14:paraId="565CDC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 w:val="0"/>
          <w:i w:val="0"/>
          <w:caps w:val="0"/>
          <w:color w:val="000000"/>
          <w:spacing w:val="0"/>
          <w:sz w:val="32"/>
          <w:szCs w:val="32"/>
          <w:shd w:val="clear" w:color="auto" w:fill="auto"/>
        </w:rPr>
      </w:pP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000000"/>
          <w:spacing w:val="0"/>
          <w:sz w:val="32"/>
          <w:szCs w:val="32"/>
          <w:shd w:val="clear" w:color="auto" w:fill="auto"/>
        </w:rPr>
        <w:t>支持企业联合高校、科研院所</w:t>
      </w: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000000"/>
          <w:spacing w:val="0"/>
          <w:sz w:val="32"/>
          <w:szCs w:val="32"/>
          <w:shd w:val="clear" w:color="auto" w:fill="auto"/>
          <w:lang w:eastAsia="zh-CN"/>
        </w:rPr>
        <w:t>及</w:t>
      </w: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000000"/>
          <w:spacing w:val="0"/>
          <w:sz w:val="32"/>
          <w:szCs w:val="32"/>
          <w:shd w:val="clear" w:color="auto" w:fill="auto"/>
        </w:rPr>
        <w:t>产业链上下游，建设面向行业的重点实验室、产业创新研究院等高能级平台。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对获批的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全国重点实验室、国家技术创新中心、国家新兴产业创新中心、国家产业技术工程化中心、国家制造业创新中心、省高水平新型研发机构、省（特色）产业创新研究院、省重点实验室、省院士工作站、省产业创新中心、省产业技术工程化中心、省制造业创新中心，</w:t>
      </w: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000000"/>
          <w:spacing w:val="0"/>
          <w:sz w:val="32"/>
          <w:szCs w:val="32"/>
          <w:shd w:val="clear" w:color="auto" w:fill="auto"/>
        </w:rPr>
        <w:t>依据运行绩效，每年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可给予</w:t>
      </w: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000000"/>
          <w:spacing w:val="0"/>
          <w:sz w:val="32"/>
          <w:szCs w:val="32"/>
          <w:shd w:val="clear" w:color="auto" w:fill="auto"/>
        </w:rPr>
        <w:t>1个定向市科技创新攻坚项目支持。</w:t>
      </w:r>
    </w:p>
    <w:p w14:paraId="1E3CAC5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</w:pPr>
      <w:r>
        <w:rPr>
          <w:rFonts w:hint="default" w:ascii="Times New Roman" w:hAnsi="Times New Roman" w:eastAsia="方正黑体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五、支持科技服务业</w:t>
      </w:r>
      <w:r>
        <w:rPr>
          <w:rFonts w:hint="default" w:ascii="Times New Roman" w:hAnsi="Times New Roman" w:eastAsia="方正黑体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赋能成果转化产业化</w:t>
      </w:r>
    </w:p>
    <w:p w14:paraId="36894F9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实施标杆科技服务商培优计划，支持围绕主导产业提供技术转移、检验检测、创业孵化、科技咨询等科技服务机构，依据服务绩效，给予最高不超过20万元的奖励。鼓励企业联合高校科研院所</w:t>
      </w:r>
      <w:r>
        <w:rPr>
          <w:rFonts w:hint="eastAsia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“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揭榜</w:t>
      </w:r>
      <w:r>
        <w:rPr>
          <w:rFonts w:hint="eastAsia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”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建设市科技成果转化概念验证中心、科技成果转化中试基地，</w:t>
      </w:r>
      <w:r>
        <w:rPr>
          <w:rFonts w:hint="default" w:ascii="Times New Roman" w:hAnsi="Times New Roman" w:eastAsia="方正仿宋_GBK" w:cs="Times New Roman"/>
          <w:b w:val="0"/>
          <w:i w:val="0"/>
          <w:caps w:val="0"/>
          <w:color w:val="000000"/>
          <w:spacing w:val="0"/>
          <w:sz w:val="32"/>
          <w:szCs w:val="32"/>
          <w:shd w:val="clear" w:color="auto" w:fill="auto"/>
          <w:lang w:eastAsia="zh-CN"/>
        </w:rPr>
        <w:t>为产业链企业提供概念验证、工艺优化、样品试制、批量生产等产业化前置服务，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依据服务绩效，给予最高不超过50万元的奖励。</w:t>
      </w:r>
    </w:p>
    <w:p w14:paraId="379EF90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黑体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</w:pPr>
      <w:r>
        <w:rPr>
          <w:rFonts w:hint="default" w:ascii="Times New Roman" w:hAnsi="Times New Roman" w:eastAsia="方正黑体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六、支持</w:t>
      </w:r>
      <w:r>
        <w:rPr>
          <w:rFonts w:hint="default" w:ascii="Times New Roman" w:hAnsi="Times New Roman" w:eastAsia="方正黑体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与高校科研院所开展</w:t>
      </w:r>
      <w:r>
        <w:rPr>
          <w:rFonts w:hint="default" w:ascii="Times New Roman" w:hAnsi="Times New Roman" w:eastAsia="方正黑体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产学研合作</w:t>
      </w:r>
    </w:p>
    <w:p w14:paraId="41824AFB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楷体_GBK" w:cs="Times New Roman"/>
          <w:b w:val="0"/>
          <w:i w:val="0"/>
          <w:color w:val="000000"/>
          <w:spacing w:val="0"/>
          <w:kern w:val="2"/>
          <w:sz w:val="32"/>
          <w:szCs w:val="31"/>
          <w:shd w:val="clear" w:color="auto" w:fill="auto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支持企业购买高校科研院所科技成果并转化产业化，按其技术合同当年实际支付额给予最高不超过30%的补助，存在跨年情形的，由企业自行选择兑现年度，同一项目只补助一次，单个项目补助最高不超过30万元，单个企业当年补助最高不超过50万元。支持企业与高校科研院所开展联合攻关，按当年实际支付额给予最高不超过20%的补助，存在跨年情形的，由企业自行选择兑现年度，同一项目只补助一次，单个项目补助最高不超过20万元，单个企业当年补助最高不超过50万元。</w:t>
      </w:r>
    </w:p>
    <w:p w14:paraId="1D1073E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黑体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方正黑体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七、支持高价值发明专利培育</w:t>
      </w:r>
    </w:p>
    <w:p w14:paraId="0834E357">
      <w:pPr>
        <w:keepNext w:val="0"/>
        <w:keepLines w:val="0"/>
        <w:pageBreakBefore w:val="0"/>
        <w:widowControl w:val="0"/>
        <w:tabs>
          <w:tab w:val="left" w:pos="60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支持企业维持有效发明专利，对维持年限超过十二年的给予最高不超过0.5万元的一次性补助。对获得自主授权Ⅰ类知识产权4件及以上的六项基础产业领域企业，给予最高不超过6万元的一次性补助。对获批市级高价值发明专利培育项目，给予最高不超过3万元的补助。对实施产业规划类专利导航、企业经营类专利导航的企业，分别给予最高不超过10万元、5万元的补助。对新获得国家专利金奖、银奖、优秀奖的企业，分别给予最高不超过50万元、30万元、10万元的奖励。</w:t>
      </w:r>
    </w:p>
    <w:p w14:paraId="303B70A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黑体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</w:pPr>
      <w:r>
        <w:rPr>
          <w:rFonts w:hint="default" w:ascii="Times New Roman" w:hAnsi="Times New Roman" w:eastAsia="方正黑体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八</w:t>
      </w:r>
      <w:r>
        <w:rPr>
          <w:rFonts w:hint="default" w:ascii="Times New Roman" w:hAnsi="Times New Roman" w:eastAsia="方正黑体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、支持人工智能赋能产业发展</w:t>
      </w:r>
    </w:p>
    <w:p w14:paraId="6AEB22A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</w:pP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对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获得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全国人工智能创新应用大赛专项赛一、二、三等奖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并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落地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的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团队，分别给予最高不超过50万元、30万元、20万元的创业启动资金。对获批市级通用人工智能应用标杆的案例，按上年实际投资额的30%给予最高不超过50万元的奖励。</w:t>
      </w:r>
    </w:p>
    <w:p w14:paraId="7D6FE60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</w:pPr>
      <w:r>
        <w:rPr>
          <w:rFonts w:hint="default" w:ascii="Times New Roman" w:hAnsi="Times New Roman" w:eastAsia="方正黑体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九</w:t>
      </w:r>
      <w:r>
        <w:rPr>
          <w:rFonts w:hint="default" w:ascii="Times New Roman" w:hAnsi="Times New Roman" w:eastAsia="方正黑体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、支持科技金融赋能产业发展</w:t>
      </w:r>
    </w:p>
    <w:p w14:paraId="7CEF3CE9">
      <w:pPr>
        <w:keepNext w:val="0"/>
        <w:keepLines w:val="0"/>
        <w:pageBreakBefore w:val="0"/>
        <w:widowControl w:val="0"/>
        <w:tabs>
          <w:tab w:val="left" w:pos="60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楷体_GBK" w:cs="Times New Roman"/>
          <w:b w:val="0"/>
          <w:i w:val="0"/>
          <w:color w:val="000000"/>
          <w:spacing w:val="0"/>
          <w:kern w:val="2"/>
          <w:sz w:val="32"/>
          <w:szCs w:val="31"/>
          <w:shd w:val="clear" w:color="auto" w:fill="auto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设立亳州市科创引导基金，构建覆盖</w:t>
      </w:r>
      <w:r>
        <w:rPr>
          <w:rFonts w:hint="eastAsia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初创</w:t>
      </w:r>
      <w:r>
        <w:rPr>
          <w:rFonts w:hint="eastAsia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－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成长</w:t>
      </w:r>
      <w:r>
        <w:rPr>
          <w:rFonts w:hint="eastAsia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－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成熟</w:t>
      </w:r>
      <w:r>
        <w:rPr>
          <w:rFonts w:hint="eastAsia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全周期的金融支持体系。依托高层次科技团队基金，对获批省高层次科技团队的企业按不超过省扶持资金的30%给予支持。设立企业科研项目专项贷，对项目自筹资金部分给予不超过30%的利息补贴，市级、省级、国家级分别最高不超过10万元、20万元、50万元。设立科技担保风险补偿资金，为科技型企业提供担保。支持企业购买科技保险，给予参保企业不超过30%的保费补贴，最高不超过5万元。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支持企业开展商标权、专利权质押融资，按质押登记金额的1%给予最高不超过10万元的补贴。</w:t>
      </w:r>
    </w:p>
    <w:p w14:paraId="6FE2C77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方正黑体_GBK" w:cs="Times New Roman"/>
          <w:b w:val="0"/>
          <w:i w:val="0"/>
          <w:color w:val="000000"/>
          <w:spacing w:val="0"/>
          <w:sz w:val="32"/>
          <w:shd w:val="clear" w:color="auto" w:fill="auto"/>
          <w:lang w:val="en-US" w:eastAsia="zh-CN"/>
        </w:rPr>
        <w:t>十、附则</w:t>
      </w:r>
    </w:p>
    <w:p w14:paraId="432C24D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color w:val="000000"/>
          <w:spacing w:val="0"/>
          <w:w w:val="100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本措施</w:t>
      </w:r>
      <w:r>
        <w:rPr>
          <w:rStyle w:val="16"/>
          <w:rFonts w:hint="default" w:ascii="Times New Roman" w:hAnsi="Times New Roman" w:eastAsia="方正仿宋_GBK" w:cs="Times New Roman"/>
          <w:color w:val="000000"/>
          <w:sz w:val="32"/>
          <w:szCs w:val="32"/>
          <w:lang w:val="en-US" w:eastAsia="zh-CN"/>
        </w:rPr>
        <w:t>自</w:t>
      </w:r>
      <w:r>
        <w:rPr>
          <w:rStyle w:val="16"/>
          <w:rFonts w:hint="eastAsia" w:ascii="Times New Roman" w:hAnsi="Times New Roman" w:eastAsia="方正仿宋_GBK" w:cs="Times New Roman"/>
          <w:color w:val="000000"/>
          <w:sz w:val="32"/>
          <w:szCs w:val="32"/>
          <w:lang w:val="en-US" w:eastAsia="zh-CN"/>
        </w:rPr>
        <w:t>印发</w:t>
      </w:r>
      <w:r>
        <w:rPr>
          <w:rStyle w:val="16"/>
          <w:rFonts w:hint="default" w:ascii="Times New Roman" w:hAnsi="Times New Roman" w:eastAsia="方正仿宋_GBK" w:cs="Times New Roman"/>
          <w:color w:val="000000"/>
          <w:sz w:val="32"/>
          <w:szCs w:val="32"/>
          <w:lang w:val="en-US" w:eastAsia="zh-CN"/>
        </w:rPr>
        <w:t>之日起</w:t>
      </w:r>
      <w:r>
        <w:rPr>
          <w:rStyle w:val="16"/>
          <w:rFonts w:hint="eastAsia" w:ascii="Times New Roman" w:hAnsi="Times New Roman" w:eastAsia="方正仿宋_GBK" w:cs="Times New Roman"/>
          <w:color w:val="000000"/>
          <w:sz w:val="32"/>
          <w:szCs w:val="32"/>
          <w:lang w:val="en-US" w:eastAsia="zh-CN"/>
        </w:rPr>
        <w:t>实施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，有效期3年。按照</w:t>
      </w:r>
      <w:r>
        <w:rPr>
          <w:rFonts w:hint="eastAsia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谁审批谁负责</w:t>
      </w:r>
      <w:r>
        <w:rPr>
          <w:rFonts w:hint="eastAsia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原则</w:t>
      </w:r>
      <w:r>
        <w:rPr>
          <w:rStyle w:val="16"/>
          <w:rFonts w:hint="default" w:ascii="Times New Roman" w:hAnsi="Times New Roman" w:eastAsia="方正仿宋_GBK" w:cs="Times New Roman"/>
          <w:color w:val="000000"/>
          <w:sz w:val="32"/>
          <w:szCs w:val="32"/>
          <w:lang w:val="en-US" w:eastAsia="zh-CN"/>
        </w:rPr>
        <w:t>，具体条款由市政府相关部门负责解释，所需资金实行预算管理、总额控制，及时足额兑付。与我市其他同类政策有重复的，按照</w:t>
      </w:r>
      <w:r>
        <w:rPr>
          <w:rStyle w:val="16"/>
          <w:rFonts w:hint="eastAsia" w:ascii="Times New Roman" w:hAnsi="Times New Roman" w:eastAsia="方正仿宋_GBK" w:cs="Times New Roman"/>
          <w:color w:val="000000"/>
          <w:sz w:val="32"/>
          <w:szCs w:val="32"/>
          <w:lang w:val="en-US" w:eastAsia="zh-CN"/>
        </w:rPr>
        <w:t>“</w:t>
      </w:r>
      <w:r>
        <w:rPr>
          <w:rStyle w:val="16"/>
          <w:rFonts w:hint="default" w:ascii="Times New Roman" w:hAnsi="Times New Roman" w:eastAsia="方正仿宋_GBK" w:cs="Times New Roman"/>
          <w:color w:val="000000"/>
          <w:sz w:val="32"/>
          <w:szCs w:val="32"/>
          <w:lang w:val="en-US" w:eastAsia="zh-CN"/>
        </w:rPr>
        <w:t>从优、就高、不重复</w:t>
      </w:r>
      <w:r>
        <w:rPr>
          <w:rStyle w:val="16"/>
          <w:rFonts w:hint="eastAsia" w:ascii="Times New Roman" w:hAnsi="Times New Roman" w:eastAsia="方正仿宋_GBK" w:cs="Times New Roman"/>
          <w:color w:val="000000"/>
          <w:sz w:val="32"/>
          <w:szCs w:val="32"/>
          <w:lang w:val="en-US" w:eastAsia="zh-CN"/>
        </w:rPr>
        <w:t>”</w:t>
      </w:r>
      <w:r>
        <w:rPr>
          <w:rStyle w:val="16"/>
          <w:rFonts w:hint="default" w:ascii="Times New Roman" w:hAnsi="Times New Roman" w:eastAsia="方正仿宋_GBK" w:cs="Times New Roman"/>
          <w:color w:val="000000"/>
          <w:sz w:val="32"/>
          <w:szCs w:val="32"/>
          <w:lang w:val="en-US" w:eastAsia="zh-CN"/>
        </w:rPr>
        <w:t>的原则予以支持。对弄虚作假、骗取奖补资金的，予以追回已拨</w:t>
      </w:r>
      <w:r>
        <w:rPr>
          <w:rFonts w:hint="default" w:ascii="Times New Roman" w:hAnsi="Times New Roman" w:eastAsia="方正仿宋_GBK" w:cs="Times New Roman"/>
          <w:color w:val="000000"/>
          <w:sz w:val="32"/>
          <w:szCs w:val="32"/>
          <w:highlight w:val="none"/>
          <w:u w:val="none"/>
          <w:lang w:val="en-US" w:eastAsia="zh-CN"/>
        </w:rPr>
        <w:t>付资金，并纳入亳州市信用信息公示平台黑名单；情节严重的，依法依规追究相关单位和人员责任。</w:t>
      </w:r>
      <w:r>
        <w:rPr>
          <w:rFonts w:hint="eastAsia" w:ascii="Times New Roman" w:hAnsi="Times New Roman" w:eastAsia="方正仿宋_GBK" w:cs="Times New Roman"/>
          <w:color w:val="000000"/>
          <w:sz w:val="32"/>
          <w:szCs w:val="32"/>
          <w:highlight w:val="none"/>
          <w:u w:val="none"/>
          <w:lang w:val="en-US" w:eastAsia="zh-CN"/>
        </w:rPr>
        <w:t>实施过程中，</w:t>
      </w:r>
      <w:r>
        <w:rPr>
          <w:rFonts w:hint="default" w:ascii="Times New Roman" w:hAnsi="Times New Roman" w:eastAsia="方正仿宋_GBK" w:cs="Times New Roman"/>
          <w:color w:val="000000"/>
          <w:spacing w:val="0"/>
          <w:w w:val="100"/>
          <w:sz w:val="32"/>
          <w:szCs w:val="32"/>
          <w:u w:val="none"/>
          <w:lang w:val="en-US" w:eastAsia="zh-CN"/>
        </w:rPr>
        <w:t>上级如有新的更优规定出台，或本</w:t>
      </w:r>
      <w:r>
        <w:rPr>
          <w:rFonts w:hint="default" w:ascii="Times New Roman" w:hAnsi="Times New Roman" w:eastAsia="方正仿宋_GBK" w:cs="Times New Roman"/>
          <w:b w:val="0"/>
          <w:i w:val="0"/>
          <w:color w:val="000000"/>
          <w:spacing w:val="0"/>
          <w:sz w:val="32"/>
          <w:shd w:val="clear" w:color="auto" w:fill="auto"/>
          <w:lang w:eastAsia="zh-CN"/>
        </w:rPr>
        <w:t>措施</w:t>
      </w:r>
      <w:r>
        <w:rPr>
          <w:rFonts w:hint="default" w:ascii="Times New Roman" w:hAnsi="Times New Roman" w:eastAsia="方正仿宋_GBK" w:cs="Times New Roman"/>
          <w:color w:val="000000"/>
          <w:spacing w:val="0"/>
          <w:w w:val="100"/>
          <w:sz w:val="32"/>
          <w:szCs w:val="32"/>
          <w:u w:val="none"/>
          <w:lang w:val="en-US" w:eastAsia="zh-CN"/>
        </w:rPr>
        <w:t>与上级规定冲突，则从其规定。</w:t>
      </w:r>
    </w:p>
    <w:p w14:paraId="10F22A1E">
      <w:pPr>
        <w:pStyle w:val="2"/>
        <w:keepLines w:val="0"/>
        <w:pageBreakBefore w:val="0"/>
        <w:widowControl w:val="0"/>
        <w:kinsoku/>
        <w:wordWrap/>
        <w:topLinePunct w:val="0"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  <w:color w:val="000000"/>
          <w:spacing w:val="0"/>
          <w:w w:val="100"/>
          <w:sz w:val="32"/>
          <w:szCs w:val="32"/>
          <w:u w:val="none"/>
          <w:lang w:val="en-US" w:eastAsia="zh-CN"/>
        </w:rPr>
      </w:pPr>
    </w:p>
    <w:p w14:paraId="381DE3FA">
      <w:pPr>
        <w:keepLines w:val="0"/>
        <w:pageBreakBefore w:val="0"/>
        <w:widowControl w:val="0"/>
        <w:kinsoku/>
        <w:wordWrap/>
        <w:topLinePunct w:val="0"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  <w:color w:val="000000"/>
          <w:spacing w:val="0"/>
          <w:w w:val="100"/>
          <w:sz w:val="32"/>
          <w:szCs w:val="32"/>
          <w:u w:val="none"/>
          <w:lang w:val="en-US" w:eastAsia="zh-CN"/>
        </w:rPr>
      </w:pPr>
    </w:p>
    <w:p w14:paraId="12C56A75">
      <w:pPr>
        <w:pStyle w:val="2"/>
        <w:keepLines w:val="0"/>
        <w:pageBreakBefore w:val="0"/>
        <w:widowControl w:val="0"/>
        <w:kinsoku/>
        <w:wordWrap/>
        <w:topLinePunct w:val="0"/>
        <w:bidi w:val="0"/>
        <w:adjustRightInd/>
        <w:snapToGrid/>
        <w:spacing w:line="590" w:lineRule="exact"/>
        <w:ind w:left="0" w:leftChars="0" w:firstLine="0" w:firstLineChars="0"/>
        <w:textAlignment w:val="auto"/>
        <w:rPr>
          <w:rFonts w:hint="default"/>
          <w:lang w:eastAsia="zh-CN"/>
        </w:rPr>
      </w:pPr>
    </w:p>
    <w:p w14:paraId="4C9F0F74">
      <w:pPr>
        <w:keepLines w:val="0"/>
        <w:pageBreakBefore w:val="0"/>
        <w:widowControl w:val="0"/>
        <w:kinsoku/>
        <w:wordWrap/>
        <w:topLinePunct w:val="0"/>
        <w:bidi w:val="0"/>
        <w:adjustRightInd/>
        <w:snapToGrid/>
        <w:spacing w:line="590" w:lineRule="exact"/>
        <w:textAlignment w:val="auto"/>
        <w:rPr>
          <w:rFonts w:hint="default"/>
          <w:lang w:eastAsia="zh-CN"/>
        </w:rPr>
      </w:pPr>
    </w:p>
    <w:p w14:paraId="48112C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280" w:firstLineChars="100"/>
        <w:textAlignment w:val="auto"/>
        <w:rPr>
          <w:rFonts w:hint="default" w:ascii="Times New Roman" w:hAnsi="Times New Roman" w:eastAsia="方正黑体_GBK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方正黑体_GBK" w:cs="Times New Roman"/>
          <w:sz w:val="28"/>
          <w:szCs w:val="28"/>
          <w:lang w:val="en-US" w:eastAsia="zh-CN"/>
        </w:rPr>
        <w:t>BZG-2026-01-02</w:t>
      </w:r>
    </w:p>
    <w:p w14:paraId="134249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9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default" w:ascii="方正仿宋_GBK" w:hAnsi="方正仿宋_GBK" w:eastAsia="方正仿宋_GBK" w:cs="Times New Roman"/>
          <w:color w:val="000000"/>
          <w:sz w:val="32"/>
          <w:szCs w:val="32"/>
          <w:lang w:eastAsia="zh-CN"/>
        </w:rPr>
      </w:pPr>
    </w:p>
    <w:p w14:paraId="047220F9">
      <w:pPr>
        <w:keepLines w:val="0"/>
        <w:pageBreakBefore w:val="0"/>
        <w:widowControl w:val="0"/>
        <w:kinsoku/>
        <w:wordWrap/>
        <w:topLinePunct w:val="0"/>
        <w:bidi w:val="0"/>
        <w:adjustRightInd/>
        <w:snapToGrid/>
        <w:spacing w:line="590" w:lineRule="exact"/>
        <w:textAlignment w:val="auto"/>
      </w:pPr>
    </w:p>
    <w:p w14:paraId="5C12CD80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34729044">
      <w:pPr>
        <w:pStyle w:val="8"/>
        <w:keepLines w:val="0"/>
        <w:pageBreakBefore w:val="0"/>
        <w:widowControl w:val="0"/>
        <w:kinsoku/>
        <w:wordWrap/>
        <w:topLinePunct w:val="0"/>
        <w:bidi w:val="0"/>
        <w:adjustRightInd/>
        <w:snapToGrid/>
        <w:spacing w:before="0" w:beforeAutospacing="0" w:after="0" w:afterAutospacing="0" w:line="590" w:lineRule="exact"/>
        <w:ind w:right="-734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sectPr>
      <w:headerReference r:id="rId3" w:type="default"/>
      <w:footerReference r:id="rId4" w:type="default"/>
      <w:pgSz w:w="11906" w:h="16838"/>
      <w:pgMar w:top="1962" w:right="1474" w:bottom="1848" w:left="1587" w:header="851" w:footer="992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简体">
    <w:altName w:val="方正仿宋_GBK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1A56A1">
    <w:pPr>
      <w:pStyle w:val="7"/>
      <w:ind w:left="4788" w:leftChars="2280" w:firstLine="6400" w:firstLineChars="2000"/>
      <w:rPr>
        <w:rFonts w:hint="eastAsia" w:eastAsia="仿宋"/>
        <w:sz w:val="32"/>
        <w:szCs w:val="48"/>
        <w:lang w:val="en-US" w:eastAsia="zh-CN"/>
      </w:rPr>
    </w:pPr>
    <w:r>
      <w:rPr>
        <w:sz w:val="32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6FA83FDE">
                          <w:pPr>
                            <w:pStyle w:val="6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R89qo3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AUfPaq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FA83FDE">
                    <w:pPr>
                      <w:pStyle w:val="6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 w:eastAsia="仿宋"/>
        <w:sz w:val="32"/>
        <w:szCs w:val="48"/>
        <w:lang w:val="en-US" w:eastAsia="zh-CN"/>
      </w:rPr>
      <w:t xml:space="preserve">  </w:t>
    </w:r>
  </w:p>
  <w:p w14:paraId="2B450242">
    <w:pPr>
      <w:pStyle w:val="7"/>
      <w:wordWrap w:val="0"/>
      <w:ind w:left="4788" w:leftChars="2280" w:firstLine="6400" w:firstLineChars="2000"/>
      <w:jc w:val="right"/>
      <w:rPr>
        <w:rFonts w:hint="eastAsia" w:ascii="宋体" w:hAnsi="宋体" w:eastAsia="宋体" w:cs="宋体"/>
        <w:b/>
        <w:bCs/>
        <w:color w:val="005192"/>
        <w:sz w:val="28"/>
        <w:szCs w:val="44"/>
        <w:lang w:val="en-US" w:eastAsia="zh-CN"/>
      </w:rPr>
    </w:pPr>
    <w:r>
      <w:rPr>
        <w:color w:val="FAFAFA"/>
        <w:sz w:val="32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74295</wp:posOffset>
              </wp:positionV>
              <wp:extent cx="5616575" cy="1905"/>
              <wp:effectExtent l="0" t="10795" r="3175" b="15875"/>
              <wp:wrapNone/>
              <wp:docPr id="5" name="直接连接符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16575" cy="1905"/>
                      </a:xfrm>
                      <a:prstGeom prst="line">
                        <a:avLst/>
                      </a:prstGeom>
                      <a:noFill/>
                      <a:ln w="22225" cap="flat" cmpd="sng" algn="ctr">
                        <a:solidFill>
                          <a:srgbClr val="005192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0pt;margin-top:5.85pt;height:0.15pt;width:442.25pt;z-index:251660288;mso-width-relative:page;mso-height-relative:page;" filled="f" stroked="t" coordsize="21600,21600" o:gfxdata="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Dz&#10;p6XR1AAAAAYBAAAPAAAAAAAAAAEAIAAAACIAAABkcnMvZG93bnJldi54bWxQSwECFAAUAAAACACH&#10;TuJAB6gkL+8BAADDAwAADgAAAAAAAAABACAAAAAjAQAAZHJzL2Uyb0RvYy54bWxQSwUGAAAAAAYA&#10;BgBZAQAAhAUAAAAA&#10;">
              <v:fill on="f" focussize="0,0"/>
              <v:stroke weight="1.75pt" color="#005192" miterlimit="8" joinstyle="miter"/>
              <v:imagedata o:title=""/>
              <o:lock v:ext="edit" aspectratio="f"/>
            </v:line>
          </w:pict>
        </mc:Fallback>
      </mc:AlternateContent>
    </w:r>
    <w:r>
      <w:rPr>
        <w:rFonts w:hint="eastAsia" w:eastAsia="仿宋"/>
        <w:color w:val="FAFAFA"/>
        <w:sz w:val="32"/>
        <w:szCs w:val="48"/>
        <w:lang w:val="en-US" w:eastAsia="zh-CN"/>
      </w:rPr>
      <w:t>X</w:t>
    </w:r>
    <w:r>
      <w:rPr>
        <w:rFonts w:hint="eastAsia" w:ascii="宋体" w:hAnsi="宋体" w:eastAsia="宋体" w:cs="宋体"/>
        <w:b/>
        <w:bCs/>
        <w:color w:val="005192"/>
        <w:sz w:val="28"/>
        <w:szCs w:val="28"/>
        <w:lang w:val="en-US" w:eastAsia="zh-CN"/>
      </w:rPr>
      <w:t>亳州市人民政府办公室发布</w:t>
    </w:r>
    <w:r>
      <w:rPr>
        <w:rFonts w:hint="eastAsia" w:ascii="宋体" w:hAnsi="宋体" w:eastAsia="宋体" w:cs="宋体"/>
        <w:b/>
        <w:bCs/>
        <w:color w:val="005192"/>
        <w:sz w:val="32"/>
        <w:szCs w:val="32"/>
        <w:lang w:val="en-US" w:eastAsia="zh-CN"/>
      </w:rPr>
      <w:t xml:space="preserve"> </w:t>
    </w:r>
    <w:r>
      <w:rPr>
        <w:rFonts w:hint="eastAsia" w:ascii="宋体" w:hAnsi="宋体" w:eastAsia="宋体" w:cs="宋体"/>
        <w:b/>
        <w:bCs/>
        <w:color w:val="005192"/>
        <w:sz w:val="28"/>
        <w:szCs w:val="44"/>
        <w:lang w:val="en-US" w:eastAsia="zh-CN"/>
      </w:rPr>
      <w:t xml:space="preserve">   </w:t>
    </w:r>
  </w:p>
  <w:p w14:paraId="6A41ED1B">
    <w:pPr>
      <w:pStyle w:val="7"/>
      <w:wordWrap w:val="0"/>
      <w:ind w:left="4788" w:leftChars="2280" w:firstLine="5622" w:firstLineChars="2000"/>
      <w:jc w:val="right"/>
      <w:rPr>
        <w:rFonts w:hint="eastAsia" w:ascii="宋体" w:hAnsi="宋体" w:eastAsia="宋体" w:cs="宋体"/>
        <w:b/>
        <w:bCs/>
        <w:color w:val="005192"/>
        <w:sz w:val="28"/>
        <w:szCs w:val="44"/>
        <w:lang w:val="en-US" w:eastAsia="zh-C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9BF219">
    <w:pPr>
      <w:pStyle w:val="7"/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napToGrid w:val="0"/>
      <w:textAlignment w:val="center"/>
      <w:rPr>
        <w:rFonts w:hint="eastAsia" w:ascii="宋体" w:hAnsi="宋体" w:eastAsia="宋体" w:cs="宋体"/>
        <w:b/>
        <w:bCs/>
        <w:color w:val="005192"/>
        <w:sz w:val="32"/>
      </w:rPr>
    </w:pPr>
    <w:r>
      <w:rPr>
        <w:rFonts w:hint="eastAsia" w:ascii="宋体" w:hAnsi="宋体" w:eastAsia="宋体" w:cs="宋体"/>
        <w:b/>
        <w:bCs/>
        <w:color w:val="005192"/>
        <w:sz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690245</wp:posOffset>
              </wp:positionV>
              <wp:extent cx="5620385" cy="0"/>
              <wp:effectExtent l="0" t="10795" r="18415" b="17780"/>
              <wp:wrapNone/>
              <wp:docPr id="4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4133850" y="864870"/>
                        <a:ext cx="5620385" cy="0"/>
                      </a:xfrm>
                      <a:prstGeom prst="line">
                        <a:avLst/>
                      </a:prstGeom>
                      <a:noFill/>
                      <a:ln w="22225" cap="flat" cmpd="sng" algn="ctr">
                        <a:solidFill>
                          <a:srgbClr val="005192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-0.3pt;margin-top:54.35pt;height:0pt;width:442.55pt;z-index:251659264;mso-width-relative:page;mso-height-relative:page;" filled="f" stroked="t" coordsize="21600,21600" o:gfxdata="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DUR0DW1QAAAAkBAAAPAAAAAAAAAAEAIAAAACIAAABkcnMvZG93bnJldi54bWxQSwEC&#10;FAAUAAAACACHTuJApSLLs/cBAADLAwAADgAAAAAAAAABACAAAAAkAQAAZHJzL2Uyb0RvYy54bWxQ&#10;SwUGAAAAAAYABgBZAQAAjQUAAAAA&#10;">
              <v:fill on="f" focussize="0,0"/>
              <v:stroke weight="1.75pt" color="#005192" miterlimit="8" joinstyle="miter"/>
              <v:imagedata o:title=""/>
              <o:lock v:ext="edit" aspectratio="f"/>
            </v:line>
          </w:pict>
        </mc:Fallback>
      </mc:AlternateContent>
    </w:r>
  </w:p>
  <w:p w14:paraId="703C319F">
    <w:pPr>
      <w:pStyle w:val="7"/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napToGrid w:val="0"/>
      <w:textAlignment w:val="center"/>
      <w:rPr>
        <w:rFonts w:hint="eastAsia" w:ascii="宋体" w:hAnsi="宋体" w:eastAsia="宋体" w:cs="宋体"/>
        <w:b/>
        <w:bCs/>
        <w:color w:val="005192"/>
        <w:sz w:val="32"/>
        <w:szCs w:val="32"/>
        <w:lang w:val="en-US" w:eastAsia="zh-CN"/>
      </w:rPr>
    </w:pPr>
    <w:r>
      <w:rPr>
        <w:rFonts w:hint="eastAsia" w:ascii="宋体" w:hAnsi="宋体" w:eastAsia="宋体" w:cs="宋体"/>
        <w:b/>
        <w:bCs/>
        <w:color w:val="005192"/>
        <w:sz w:val="32"/>
      </w:rPr>
      <w:drawing>
        <wp:inline distT="0" distB="0" distL="114300" distR="114300">
          <wp:extent cx="308610" cy="308610"/>
          <wp:effectExtent l="0" t="0" r="15240" b="15240"/>
          <wp:docPr id="1" name="图片 1" descr="国徽10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国徽102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8610" cy="308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 w:ascii="宋体" w:hAnsi="宋体" w:eastAsia="宋体" w:cs="宋体"/>
        <w:b/>
        <w:bCs/>
        <w:color w:val="005192"/>
        <w:sz w:val="32"/>
        <w:lang w:val="en-US" w:eastAsia="zh-CN"/>
      </w:rPr>
      <w:t>亳州市人民政府行政</w:t>
    </w:r>
    <w:r>
      <w:rPr>
        <w:rFonts w:hint="eastAsia" w:ascii="宋体" w:hAnsi="宋体" w:eastAsia="宋体" w:cs="宋体"/>
        <w:b/>
        <w:bCs/>
        <w:color w:val="005192"/>
        <w:sz w:val="32"/>
        <w:szCs w:val="32"/>
        <w:lang w:val="en-US" w:eastAsia="zh-CN"/>
      </w:rPr>
      <w:t>规范性文件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cyNjc3YWM5NGYyODYxNDE1ODhkZTI5ZTViNmNkZDAifQ=="/>
  </w:docVars>
  <w:rsids>
    <w:rsidRoot w:val="00172A27"/>
    <w:rsid w:val="378D688D"/>
    <w:rsid w:val="3868100C"/>
    <w:rsid w:val="46AE00ED"/>
    <w:rsid w:val="47F343E9"/>
    <w:rsid w:val="4A161F6E"/>
    <w:rsid w:val="4D0F6EC5"/>
    <w:rsid w:val="55FB3DAD"/>
    <w:rsid w:val="5876631B"/>
    <w:rsid w:val="5EDB2F06"/>
    <w:rsid w:val="5FF626F2"/>
    <w:rsid w:val="68343B56"/>
    <w:rsid w:val="7129478D"/>
    <w:rsid w:val="72775C72"/>
    <w:rsid w:val="728C5ACB"/>
    <w:rsid w:val="7B281C4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0"/>
    <w:pPr>
      <w:spacing w:afterLines="0" w:line="580" w:lineRule="exact"/>
      <w:ind w:left="0" w:leftChars="0" w:firstLine="840" w:firstLineChars="200"/>
    </w:pPr>
    <w:rPr>
      <w:rFonts w:ascii="Times New Roman" w:hAnsi="Times New Roman" w:eastAsia="仿宋_GB2312"/>
      <w:sz w:val="30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qFormat/>
    <w:uiPriority w:val="0"/>
    <w:pPr>
      <w:spacing w:after="140" w:line="276" w:lineRule="auto"/>
    </w:pPr>
    <w:rPr>
      <w:rFonts w:ascii="Times New Roman" w:hAnsi="Times New Roman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0">
    <w:name w:val="Table Grid"/>
    <w:basedOn w:val="9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page number"/>
    <w:basedOn w:val="11"/>
    <w:qFormat/>
    <w:uiPriority w:val="0"/>
  </w:style>
  <w:style w:type="paragraph" w:customStyle="1" w:styleId="13">
    <w:name w:val="仿宋正文"/>
    <w:basedOn w:val="1"/>
    <w:qFormat/>
    <w:uiPriority w:val="0"/>
    <w:pPr>
      <w:spacing w:line="600" w:lineRule="exact"/>
      <w:ind w:firstLine="420" w:firstLineChars="200"/>
    </w:pPr>
    <w:rPr>
      <w:rFonts w:eastAsia="方正仿宋简体"/>
      <w:szCs w:val="32"/>
    </w:rPr>
  </w:style>
  <w:style w:type="paragraph" w:customStyle="1" w:styleId="14">
    <w:name w:val="列出段落1"/>
    <w:basedOn w:val="1"/>
    <w:qFormat/>
    <w:uiPriority w:val="99"/>
    <w:pPr>
      <w:ind w:firstLine="420" w:firstLineChars="200"/>
    </w:pPr>
  </w:style>
  <w:style w:type="paragraph" w:customStyle="1" w:styleId="15">
    <w:name w:val="Char"/>
    <w:basedOn w:val="1"/>
    <w:qFormat/>
    <w:uiPriority w:val="0"/>
    <w:pPr>
      <w:spacing w:before="100" w:beforeLines="0" w:beforeAutospacing="1" w:after="100" w:afterLines="0" w:afterAutospacing="1"/>
    </w:pPr>
  </w:style>
  <w:style w:type="character" w:customStyle="1" w:styleId="16">
    <w:name w:val="NormalCharacter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6</Pages>
  <Words>2192</Words>
  <Characters>2284</Characters>
  <Lines>0</Lines>
  <Paragraphs>0</Paragraphs>
  <TotalTime>33</TotalTime>
  <ScaleCrop>false</ScaleCrop>
  <LinksUpToDate>false</LinksUpToDate>
  <CharactersWithSpaces>2292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2026-04-09T01:17:13Z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44C402D1BD274312B931B08488C6A760</vt:lpwstr>
  </property>
  <property fmtid="{D5CDD505-2E9C-101B-9397-08002B2CF9AE}" pid="4" name="KSOTemplateDocerSaveRecord">
    <vt:lpwstr>eyJoZGlkIjoiMDcyNjc3YWM5NGYyODYxNDE1ODhkZTI5ZTViNmNkZDAifQ==</vt:lpwstr>
  </property>
</Properties>
</file>