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F73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i w:val="0"/>
          <w:iCs w:val="0"/>
          <w:caps w:val="0"/>
          <w:color w:val="333333"/>
          <w:spacing w:val="8"/>
          <w:sz w:val="36"/>
          <w:szCs w:val="36"/>
          <w:shd w:val="clear" w:color="auto" w:fill="FFFFFF"/>
        </w:rPr>
      </w:pPr>
      <w:r>
        <w:rPr>
          <w:rFonts w:hint="eastAsia" w:ascii="方正小标宋_GBK" w:hAnsi="方正小标宋_GBK" w:eastAsia="方正小标宋_GBK" w:cs="方正小标宋_GBK"/>
          <w:i w:val="0"/>
          <w:iCs w:val="0"/>
          <w:caps w:val="0"/>
          <w:color w:val="333333"/>
          <w:spacing w:val="8"/>
          <w:sz w:val="36"/>
          <w:szCs w:val="36"/>
          <w:shd w:val="clear" w:color="auto" w:fill="FFFFFF"/>
        </w:rPr>
        <w:t>亳州市人民政府办公室202</w:t>
      </w:r>
      <w:r>
        <w:rPr>
          <w:rFonts w:hint="eastAsia" w:ascii="方正小标宋_GBK" w:hAnsi="方正小标宋_GBK" w:eastAsia="方正小标宋_GBK" w:cs="方正小标宋_GBK"/>
          <w:i w:val="0"/>
          <w:iCs w:val="0"/>
          <w:caps w:val="0"/>
          <w:color w:val="333333"/>
          <w:spacing w:val="8"/>
          <w:sz w:val="36"/>
          <w:szCs w:val="36"/>
          <w:shd w:val="clear" w:color="auto" w:fill="FFFFFF"/>
          <w:lang w:val="en-US" w:eastAsia="zh-CN"/>
        </w:rPr>
        <w:t>4</w:t>
      </w:r>
      <w:r>
        <w:rPr>
          <w:rFonts w:hint="eastAsia" w:ascii="方正小标宋_GBK" w:hAnsi="方正小标宋_GBK" w:eastAsia="方正小标宋_GBK" w:cs="方正小标宋_GBK"/>
          <w:i w:val="0"/>
          <w:iCs w:val="0"/>
          <w:caps w:val="0"/>
          <w:color w:val="333333"/>
          <w:spacing w:val="8"/>
          <w:sz w:val="36"/>
          <w:szCs w:val="36"/>
          <w:shd w:val="clear" w:color="auto" w:fill="FFFFFF"/>
        </w:rPr>
        <w:t>年</w:t>
      </w:r>
    </w:p>
    <w:p w14:paraId="1B3B67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i w:val="0"/>
          <w:iCs w:val="0"/>
          <w:caps w:val="0"/>
          <w:color w:val="333333"/>
          <w:spacing w:val="8"/>
          <w:sz w:val="36"/>
          <w:szCs w:val="36"/>
          <w:shd w:val="clear" w:color="auto" w:fill="FFFFFF"/>
        </w:rPr>
      </w:pPr>
      <w:r>
        <w:rPr>
          <w:rFonts w:hint="eastAsia" w:ascii="方正小标宋_GBK" w:hAnsi="方正小标宋_GBK" w:eastAsia="方正小标宋_GBK" w:cs="方正小标宋_GBK"/>
          <w:i w:val="0"/>
          <w:iCs w:val="0"/>
          <w:caps w:val="0"/>
          <w:color w:val="333333"/>
          <w:spacing w:val="8"/>
          <w:sz w:val="36"/>
          <w:szCs w:val="36"/>
          <w:shd w:val="clear" w:color="auto" w:fill="FFFFFF"/>
        </w:rPr>
        <w:t>政府信息公开工作报告</w:t>
      </w:r>
    </w:p>
    <w:p w14:paraId="32EF562E">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18030" w:cs="Times New Roman"/>
          <w:b/>
          <w:bCs/>
          <w:i w:val="0"/>
          <w:iCs w:val="0"/>
          <w:caps w:val="0"/>
          <w:color w:val="B81112"/>
          <w:spacing w:val="0"/>
          <w:sz w:val="32"/>
          <w:szCs w:val="32"/>
          <w:shd w:val="clear" w:color="auto" w:fill="FFFFFF"/>
        </w:rPr>
      </w:pPr>
    </w:p>
    <w:p w14:paraId="084BA77B">
      <w:pPr>
        <w:overflowPunct w:val="0"/>
        <w:spacing w:line="600" w:lineRule="exact"/>
        <w:ind w:firstLine="640" w:firstLineChars="200"/>
        <w:rPr>
          <w:rFonts w:hint="default" w:ascii="Times New Roman" w:hAnsi="Times New Roman" w:eastAsia="方正仿宋_GBK" w:cs="Times New Roman"/>
          <w:color w:val="000000"/>
          <w:kern w:val="0"/>
          <w:sz w:val="32"/>
          <w:szCs w:val="32"/>
        </w:rPr>
      </w:pPr>
      <w:r>
        <w:rPr>
          <w:rFonts w:hint="default" w:ascii="Times New Roman" w:hAnsi="Times New Roman" w:eastAsia="方正仿宋_GBK" w:cs="Times New Roman"/>
          <w:color w:val="000000"/>
          <w:kern w:val="0"/>
          <w:sz w:val="32"/>
          <w:szCs w:val="32"/>
        </w:rPr>
        <w:t>根据《中华人民共和国政府信息公开条例》（国务院令第711号）、《国务院办公厅政府信息与政务公开办公室关于印发〈中华人民共和国政府信息公开工作年度报告格式〉的通知》（国办公开办函〔2021〕30号）规定，发布亳州市人民政府办公室202</w:t>
      </w:r>
      <w:r>
        <w:rPr>
          <w:rFonts w:hint="eastAsia" w:ascii="Times New Roman" w:hAnsi="Times New Roman" w:eastAsia="方正仿宋_GBK" w:cs="Times New Roman"/>
          <w:color w:val="000000"/>
          <w:kern w:val="0"/>
          <w:sz w:val="32"/>
          <w:szCs w:val="32"/>
          <w:lang w:val="en-US" w:eastAsia="zh-CN"/>
        </w:rPr>
        <w:t>4</w:t>
      </w:r>
      <w:r>
        <w:rPr>
          <w:rFonts w:hint="default" w:ascii="Times New Roman" w:hAnsi="Times New Roman" w:eastAsia="方正仿宋_GBK" w:cs="Times New Roman"/>
          <w:color w:val="000000"/>
          <w:kern w:val="0"/>
          <w:sz w:val="32"/>
          <w:szCs w:val="32"/>
        </w:rPr>
        <w:t>年度政府信息公开工作报告。本年度报告电子版可从亳州市人民政府网站（www.bozhou.gov.cn）下载。报告中所列数据统计期限自202</w:t>
      </w:r>
      <w:r>
        <w:rPr>
          <w:rFonts w:hint="eastAsia" w:ascii="Times New Roman" w:hAnsi="Times New Roman" w:eastAsia="方正仿宋_GBK" w:cs="Times New Roman"/>
          <w:color w:val="000000"/>
          <w:kern w:val="0"/>
          <w:sz w:val="32"/>
          <w:szCs w:val="32"/>
          <w:lang w:val="en-US" w:eastAsia="zh-CN"/>
        </w:rPr>
        <w:t>4</w:t>
      </w:r>
      <w:r>
        <w:rPr>
          <w:rFonts w:hint="default" w:ascii="Times New Roman" w:hAnsi="Times New Roman" w:eastAsia="方正仿宋_GBK" w:cs="Times New Roman"/>
          <w:color w:val="000000"/>
          <w:kern w:val="0"/>
          <w:sz w:val="32"/>
          <w:szCs w:val="32"/>
        </w:rPr>
        <w:t>年1月1日起，至202</w:t>
      </w:r>
      <w:r>
        <w:rPr>
          <w:rFonts w:hint="eastAsia" w:ascii="Times New Roman" w:hAnsi="Times New Roman" w:eastAsia="方正仿宋_GBK" w:cs="Times New Roman"/>
          <w:color w:val="000000"/>
          <w:kern w:val="0"/>
          <w:sz w:val="32"/>
          <w:szCs w:val="32"/>
          <w:lang w:val="en-US" w:eastAsia="zh-CN"/>
        </w:rPr>
        <w:t>4</w:t>
      </w:r>
      <w:r>
        <w:rPr>
          <w:rFonts w:hint="default" w:ascii="Times New Roman" w:hAnsi="Times New Roman" w:eastAsia="方正仿宋_GBK" w:cs="Times New Roman"/>
          <w:color w:val="000000"/>
          <w:kern w:val="0"/>
          <w:sz w:val="32"/>
          <w:szCs w:val="32"/>
        </w:rPr>
        <w:t>年12月31日止。如对报告内容有疑问，请与亳州市政府办公室政务公开办公室联系（地址：安徽省亳州市希夷大道588号；邮编：236800；电话：</w:t>
      </w:r>
      <w:r>
        <w:rPr>
          <w:rFonts w:hint="eastAsia" w:ascii="Times New Roman" w:hAnsi="Times New Roman" w:eastAsia="方正仿宋_GBK" w:cs="Times New Roman"/>
          <w:color w:val="000000"/>
          <w:kern w:val="0"/>
          <w:sz w:val="32"/>
          <w:szCs w:val="32"/>
          <w:lang w:eastAsia="zh-CN"/>
        </w:rPr>
        <w:t>0558-5555840</w:t>
      </w:r>
      <w:r>
        <w:rPr>
          <w:rFonts w:hint="default" w:ascii="Times New Roman" w:hAnsi="Times New Roman" w:eastAsia="方正仿宋_GBK" w:cs="Times New Roman"/>
          <w:color w:val="000000"/>
          <w:kern w:val="0"/>
          <w:sz w:val="32"/>
          <w:szCs w:val="32"/>
        </w:rPr>
        <w:t>）。</w:t>
      </w:r>
    </w:p>
    <w:p w14:paraId="0FA0744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方正黑体_GBK" w:hAnsi="方正黑体_GBK" w:eastAsia="方正黑体_GBK" w:cs="方正黑体_GBK"/>
          <w:i w:val="0"/>
          <w:iCs w:val="0"/>
          <w:caps w:val="0"/>
          <w:color w:val="000000"/>
          <w:spacing w:val="0"/>
          <w:sz w:val="32"/>
          <w:szCs w:val="32"/>
          <w:shd w:val="clear" w:color="auto" w:fill="FFFFFF"/>
          <w:lang w:val="en-US" w:eastAsia="zh-CN"/>
        </w:rPr>
      </w:pPr>
      <w:r>
        <w:rPr>
          <w:rFonts w:hint="eastAsia" w:ascii="方正黑体_GBK" w:hAnsi="方正黑体_GBK" w:eastAsia="方正黑体_GBK" w:cs="方正黑体_GBK"/>
          <w:i w:val="0"/>
          <w:iCs w:val="0"/>
          <w:caps w:val="0"/>
          <w:color w:val="000000"/>
          <w:spacing w:val="0"/>
          <w:sz w:val="32"/>
          <w:szCs w:val="32"/>
          <w:shd w:val="clear" w:color="auto" w:fill="FFFFFF"/>
          <w:lang w:val="en-US" w:eastAsia="zh-CN"/>
        </w:rPr>
        <w:t>一、总体情况</w:t>
      </w:r>
    </w:p>
    <w:p w14:paraId="734A8DEF">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Times New Roman" w:hAnsi="Times New Roman" w:eastAsia="方正仿宋_GBK" w:cs="Times New Roman"/>
          <w:color w:val="000000"/>
          <w:kern w:val="0"/>
          <w:sz w:val="32"/>
          <w:szCs w:val="32"/>
          <w:lang w:val="en-US" w:eastAsia="zh-CN"/>
        </w:rPr>
      </w:pPr>
      <w:r>
        <w:rPr>
          <w:rFonts w:hint="eastAsia" w:ascii="Times New Roman" w:hAnsi="Times New Roman" w:eastAsia="方正仿宋_GBK" w:cs="Times New Roman"/>
          <w:color w:val="000000"/>
          <w:kern w:val="0"/>
          <w:sz w:val="32"/>
          <w:szCs w:val="32"/>
          <w:lang w:val="en-US" w:eastAsia="zh-CN"/>
        </w:rPr>
        <w:t>2024年亳州市人民政府办公室认真贯彻落实全省政务公开工作要点，持续以公开促落实、强监管、优环境，取得积极成效。</w:t>
      </w:r>
    </w:p>
    <w:p w14:paraId="5E70D70A">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72" w:firstLineChars="200"/>
        <w:textAlignment w:val="auto"/>
        <w:rPr>
          <w:rFonts w:hint="eastAsia" w:ascii="Times New Roman" w:hAnsi="Times New Roman" w:eastAsia="方正仿宋_GBK" w:cs="Times New Roman"/>
          <w:color w:val="000000"/>
          <w:kern w:val="0"/>
          <w:sz w:val="32"/>
          <w:szCs w:val="32"/>
          <w:lang w:val="en-US" w:eastAsia="zh-CN"/>
        </w:rPr>
      </w:pPr>
      <w:r>
        <w:rPr>
          <w:rFonts w:hint="eastAsia" w:ascii="方正楷体_GBK" w:hAnsi="方正楷体_GBK" w:eastAsia="方正楷体_GBK" w:cs="方正楷体_GBK"/>
          <w:i w:val="0"/>
          <w:iCs w:val="0"/>
          <w:caps w:val="0"/>
          <w:color w:val="333333"/>
          <w:spacing w:val="8"/>
          <w:sz w:val="32"/>
          <w:szCs w:val="32"/>
          <w:shd w:val="clear" w:color="auto" w:fill="FFFFFF"/>
          <w:lang w:eastAsia="zh-CN"/>
        </w:rPr>
        <w:t>（</w:t>
      </w:r>
      <w:r>
        <w:rPr>
          <w:rFonts w:hint="eastAsia" w:ascii="方正楷体_GBK" w:hAnsi="方正楷体_GBK" w:eastAsia="方正楷体_GBK" w:cs="方正楷体_GBK"/>
          <w:i w:val="0"/>
          <w:iCs w:val="0"/>
          <w:caps w:val="0"/>
          <w:color w:val="333333"/>
          <w:spacing w:val="8"/>
          <w:sz w:val="32"/>
          <w:szCs w:val="32"/>
          <w:shd w:val="clear" w:color="auto" w:fill="FFFFFF"/>
          <w:lang w:val="en-US" w:eastAsia="zh-CN"/>
        </w:rPr>
        <w:t>一</w:t>
      </w:r>
      <w:r>
        <w:rPr>
          <w:rFonts w:hint="eastAsia" w:ascii="方正楷体_GBK" w:hAnsi="方正楷体_GBK" w:eastAsia="方正楷体_GBK" w:cs="方正楷体_GBK"/>
          <w:i w:val="0"/>
          <w:iCs w:val="0"/>
          <w:caps w:val="0"/>
          <w:color w:val="333333"/>
          <w:spacing w:val="8"/>
          <w:sz w:val="32"/>
          <w:szCs w:val="32"/>
          <w:shd w:val="clear" w:color="auto" w:fill="FFFFFF"/>
          <w:lang w:eastAsia="zh-CN"/>
        </w:rPr>
        <w:t>）</w:t>
      </w:r>
      <w:r>
        <w:rPr>
          <w:rFonts w:ascii="方正楷体_GBK" w:hAnsi="方正楷体_GBK" w:eastAsia="方正楷体_GBK" w:cs="方正楷体_GBK"/>
          <w:i w:val="0"/>
          <w:iCs w:val="0"/>
          <w:caps w:val="0"/>
          <w:color w:val="333333"/>
          <w:spacing w:val="8"/>
          <w:sz w:val="32"/>
          <w:szCs w:val="32"/>
          <w:shd w:val="clear" w:color="auto" w:fill="FFFFFF"/>
        </w:rPr>
        <w:t>主动公开情况。</w:t>
      </w:r>
      <w:r>
        <w:rPr>
          <w:rFonts w:hint="eastAsia" w:ascii="Times New Roman" w:hAnsi="Times New Roman" w:eastAsia="方正仿宋_GBK" w:cs="Times New Roman"/>
          <w:color w:val="000000"/>
          <w:kern w:val="0"/>
          <w:sz w:val="32"/>
          <w:szCs w:val="32"/>
          <w:lang w:val="en-US" w:eastAsia="zh-CN"/>
        </w:rPr>
        <w:t>以“</w:t>
      </w:r>
      <w:r>
        <w:rPr>
          <w:rFonts w:hint="default" w:ascii="Times New Roman" w:hAnsi="Times New Roman" w:eastAsia="方正仿宋_GBK" w:cs="Times New Roman"/>
          <w:color w:val="000000"/>
          <w:kern w:val="0"/>
          <w:sz w:val="32"/>
          <w:szCs w:val="32"/>
          <w:lang w:val="en-US" w:eastAsia="zh-CN"/>
        </w:rPr>
        <w:t>法定主动公开范围内的公开到位，其他内容审慎公开</w:t>
      </w:r>
      <w:r>
        <w:rPr>
          <w:rFonts w:hint="eastAsia" w:ascii="Times New Roman" w:hAnsi="Times New Roman" w:eastAsia="方正仿宋_GBK" w:cs="Times New Roman"/>
          <w:color w:val="000000"/>
          <w:kern w:val="0"/>
          <w:sz w:val="32"/>
          <w:szCs w:val="32"/>
          <w:lang w:val="en-US" w:eastAsia="zh-CN"/>
        </w:rPr>
        <w:t>”为</w:t>
      </w:r>
      <w:r>
        <w:rPr>
          <w:rFonts w:hint="default" w:ascii="Times New Roman" w:hAnsi="Times New Roman" w:eastAsia="方正仿宋_GBK" w:cs="Times New Roman"/>
          <w:color w:val="000000"/>
          <w:kern w:val="0"/>
          <w:sz w:val="32"/>
          <w:szCs w:val="32"/>
          <w:lang w:val="en-US" w:eastAsia="zh-CN"/>
        </w:rPr>
        <w:t>原则，2024年</w:t>
      </w:r>
      <w:r>
        <w:rPr>
          <w:rFonts w:hint="eastAsia" w:ascii="Times New Roman" w:hAnsi="Times New Roman" w:eastAsia="方正仿宋_GBK" w:cs="Times New Roman"/>
          <w:color w:val="000000"/>
          <w:kern w:val="0"/>
          <w:sz w:val="32"/>
          <w:szCs w:val="32"/>
          <w:lang w:val="en-US" w:eastAsia="zh-CN"/>
        </w:rPr>
        <w:t>亳州市人民政府办公室</w:t>
      </w:r>
      <w:r>
        <w:rPr>
          <w:rFonts w:hint="default" w:ascii="Times New Roman" w:hAnsi="Times New Roman" w:eastAsia="方正仿宋_GBK" w:cs="Times New Roman"/>
          <w:color w:val="000000"/>
          <w:kern w:val="0"/>
          <w:sz w:val="32"/>
          <w:szCs w:val="32"/>
          <w:lang w:val="en-US" w:eastAsia="zh-CN"/>
        </w:rPr>
        <w:t>主动公开各类政府信息</w:t>
      </w:r>
      <w:r>
        <w:rPr>
          <w:rFonts w:hint="eastAsia" w:ascii="Times New Roman" w:hAnsi="Times New Roman" w:eastAsia="方正仿宋_GBK" w:cs="Times New Roman"/>
          <w:color w:val="000000"/>
          <w:kern w:val="0"/>
          <w:sz w:val="32"/>
          <w:szCs w:val="32"/>
          <w:lang w:val="en-US" w:eastAsia="zh-CN"/>
        </w:rPr>
        <w:t>6507</w:t>
      </w:r>
      <w:r>
        <w:rPr>
          <w:rFonts w:hint="default" w:ascii="Times New Roman" w:hAnsi="Times New Roman" w:eastAsia="方正仿宋_GBK" w:cs="Times New Roman"/>
          <w:color w:val="000000"/>
          <w:kern w:val="0"/>
          <w:sz w:val="32"/>
          <w:szCs w:val="32"/>
          <w:lang w:val="en-US" w:eastAsia="zh-CN"/>
        </w:rPr>
        <w:t>条</w:t>
      </w:r>
      <w:r>
        <w:rPr>
          <w:rFonts w:hint="eastAsia" w:ascii="Times New Roman" w:hAnsi="Times New Roman" w:eastAsia="方正仿宋_GBK" w:cs="Times New Roman"/>
          <w:color w:val="000000"/>
          <w:kern w:val="0"/>
          <w:sz w:val="32"/>
          <w:szCs w:val="32"/>
          <w:lang w:val="en-US" w:eastAsia="zh-CN"/>
        </w:rPr>
        <w:t>，公开内容量质齐升</w:t>
      </w:r>
      <w:r>
        <w:rPr>
          <w:rFonts w:hint="default" w:ascii="Times New Roman" w:hAnsi="Times New Roman" w:eastAsia="方正仿宋_GBK" w:cs="Times New Roman"/>
          <w:color w:val="000000"/>
          <w:kern w:val="0"/>
          <w:sz w:val="32"/>
          <w:szCs w:val="32"/>
          <w:lang w:val="en-US" w:eastAsia="zh-CN"/>
        </w:rPr>
        <w:t>。</w:t>
      </w:r>
    </w:p>
    <w:p w14:paraId="6207AAE4">
      <w:pPr>
        <w:keepNext w:val="0"/>
        <w:keepLines w:val="0"/>
        <w:pageBreakBefore w:val="0"/>
        <w:widowControl w:val="0"/>
        <w:numPr>
          <w:ilvl w:val="0"/>
          <w:numId w:val="0"/>
        </w:numPr>
        <w:kinsoku/>
        <w:wordWrap/>
        <w:overflowPunct/>
        <w:topLinePunct w:val="0"/>
        <w:autoSpaceDE/>
        <w:autoSpaceDN/>
        <w:bidi w:val="0"/>
        <w:adjustRightInd/>
        <w:snapToGrid/>
        <w:spacing w:line="20" w:lineRule="atLeast"/>
        <w:ind w:firstLine="0" w:firstLineChars="0"/>
        <w:textAlignment w:val="auto"/>
      </w:pPr>
      <w:r>
        <w:drawing>
          <wp:inline distT="0" distB="0" distL="114300" distR="114300">
            <wp:extent cx="5269865" cy="2466975"/>
            <wp:effectExtent l="4445" t="4445" r="21590" b="5080"/>
            <wp:docPr id="4" name="图表 3" descr="7b0a202020202263686172745265734964223a202232303437363132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E69C9EE">
      <w:pPr>
        <w:keepNext w:val="0"/>
        <w:keepLines w:val="0"/>
        <w:pageBreakBefore w:val="0"/>
        <w:widowControl w:val="0"/>
        <w:numPr>
          <w:ilvl w:val="0"/>
          <w:numId w:val="0"/>
        </w:numPr>
        <w:kinsoku/>
        <w:wordWrap/>
        <w:overflowPunct/>
        <w:topLinePunct w:val="0"/>
        <w:autoSpaceDE/>
        <w:autoSpaceDN/>
        <w:bidi w:val="0"/>
        <w:adjustRightInd/>
        <w:snapToGrid/>
        <w:spacing w:line="20" w:lineRule="atLeast"/>
        <w:ind w:firstLine="0" w:firstLineChars="0"/>
        <w:textAlignment w:val="auto"/>
      </w:pPr>
      <w:r>
        <w:drawing>
          <wp:inline distT="0" distB="0" distL="114300" distR="114300">
            <wp:extent cx="5235575" cy="2368550"/>
            <wp:effectExtent l="4445" t="4445" r="17780" b="8255"/>
            <wp:docPr id="3" name="图表 2" descr="7b0a202020202263686172745265734964223a20223230343736373830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78C6FA4">
      <w:pPr>
        <w:keepNext w:val="0"/>
        <w:keepLines w:val="0"/>
        <w:pageBreakBefore w:val="0"/>
        <w:widowControl w:val="0"/>
        <w:numPr>
          <w:ilvl w:val="0"/>
          <w:numId w:val="0"/>
        </w:numPr>
        <w:kinsoku/>
        <w:wordWrap/>
        <w:overflowPunct/>
        <w:topLinePunct w:val="0"/>
        <w:autoSpaceDE/>
        <w:autoSpaceDN/>
        <w:bidi w:val="0"/>
        <w:adjustRightInd/>
        <w:snapToGrid/>
        <w:spacing w:line="20" w:lineRule="atLeast"/>
        <w:ind w:firstLine="0" w:firstLineChars="0"/>
        <w:textAlignment w:val="auto"/>
      </w:pPr>
      <w:r>
        <w:drawing>
          <wp:inline distT="0" distB="0" distL="114300" distR="114300">
            <wp:extent cx="5270500" cy="2911475"/>
            <wp:effectExtent l="4445" t="4445" r="20955" b="17780"/>
            <wp:docPr id="6" name="图表 5" descr="7b0a202020202263686172745265734964223a20223230343732323235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8051F0A">
      <w:pPr>
        <w:keepNext w:val="0"/>
        <w:keepLines w:val="0"/>
        <w:pageBreakBefore w:val="0"/>
        <w:widowControl w:val="0"/>
        <w:numPr>
          <w:ilvl w:val="0"/>
          <w:numId w:val="0"/>
        </w:numPr>
        <w:kinsoku/>
        <w:wordWrap/>
        <w:overflowPunct/>
        <w:topLinePunct w:val="0"/>
        <w:autoSpaceDE/>
        <w:autoSpaceDN/>
        <w:bidi w:val="0"/>
        <w:adjustRightInd/>
        <w:snapToGrid/>
        <w:spacing w:line="20" w:lineRule="atLeast"/>
        <w:ind w:firstLine="0" w:firstLineChars="0"/>
        <w:textAlignment w:val="auto"/>
        <w:rPr>
          <w:rFonts w:hint="eastAsia"/>
          <w:lang w:val="en-US" w:eastAsia="zh-CN"/>
        </w:rPr>
      </w:pPr>
      <w:r>
        <w:drawing>
          <wp:inline distT="0" distB="0" distL="114300" distR="114300">
            <wp:extent cx="5032375" cy="2511425"/>
            <wp:effectExtent l="4445" t="4445" r="11430" b="17780"/>
            <wp:docPr id="7" name="图表 6" descr="7b0a202020202263686172745265734964223a20223230343639373135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C03B0AC">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72" w:firstLineChars="200"/>
        <w:textAlignment w:val="auto"/>
        <w:rPr>
          <w:rFonts w:hint="eastAsia" w:ascii="Times New Roman" w:hAnsi="Times New Roman" w:eastAsia="方正仿宋_GBK" w:cs="Times New Roman"/>
          <w:color w:val="000000"/>
          <w:kern w:val="0"/>
          <w:sz w:val="32"/>
          <w:szCs w:val="32"/>
          <w:lang w:val="en-US" w:eastAsia="zh-CN"/>
        </w:rPr>
      </w:pPr>
      <w:r>
        <w:rPr>
          <w:rFonts w:hint="eastAsia" w:ascii="方正楷体_GBK" w:hAnsi="方正楷体_GBK" w:eastAsia="方正楷体_GBK" w:cs="方正楷体_GBK"/>
          <w:i w:val="0"/>
          <w:iCs w:val="0"/>
          <w:caps w:val="0"/>
          <w:color w:val="333333"/>
          <w:spacing w:val="8"/>
          <w:sz w:val="32"/>
          <w:szCs w:val="32"/>
          <w:shd w:val="clear" w:color="auto" w:fill="FFFFFF"/>
          <w:lang w:eastAsia="zh-CN"/>
        </w:rPr>
        <w:t>（</w:t>
      </w:r>
      <w:r>
        <w:rPr>
          <w:rFonts w:hint="eastAsia" w:ascii="方正楷体_GBK" w:hAnsi="方正楷体_GBK" w:eastAsia="方正楷体_GBK" w:cs="方正楷体_GBK"/>
          <w:i w:val="0"/>
          <w:iCs w:val="0"/>
          <w:caps w:val="0"/>
          <w:color w:val="333333"/>
          <w:spacing w:val="8"/>
          <w:sz w:val="32"/>
          <w:szCs w:val="32"/>
          <w:shd w:val="clear" w:color="auto" w:fill="FFFFFF"/>
          <w:lang w:val="en-US" w:eastAsia="zh-CN"/>
        </w:rPr>
        <w:t>二</w:t>
      </w:r>
      <w:r>
        <w:rPr>
          <w:rFonts w:hint="eastAsia" w:ascii="方正楷体_GBK" w:hAnsi="方正楷体_GBK" w:eastAsia="方正楷体_GBK" w:cs="方正楷体_GBK"/>
          <w:i w:val="0"/>
          <w:iCs w:val="0"/>
          <w:caps w:val="0"/>
          <w:color w:val="333333"/>
          <w:spacing w:val="8"/>
          <w:sz w:val="32"/>
          <w:szCs w:val="32"/>
          <w:shd w:val="clear" w:color="auto" w:fill="FFFFFF"/>
          <w:lang w:eastAsia="zh-CN"/>
        </w:rPr>
        <w:t>）</w:t>
      </w:r>
      <w:r>
        <w:rPr>
          <w:rFonts w:ascii="方正楷体_GBK" w:hAnsi="方正楷体_GBK" w:eastAsia="方正楷体_GBK" w:cs="方正楷体_GBK"/>
          <w:i w:val="0"/>
          <w:iCs w:val="0"/>
          <w:caps w:val="0"/>
          <w:color w:val="333333"/>
          <w:spacing w:val="8"/>
          <w:sz w:val="32"/>
          <w:szCs w:val="32"/>
          <w:shd w:val="clear" w:color="auto" w:fill="FFFFFF"/>
        </w:rPr>
        <w:t>依申请公开办理情况。</w:t>
      </w:r>
      <w:r>
        <w:rPr>
          <w:rFonts w:hint="eastAsia" w:ascii="Times New Roman" w:hAnsi="Times New Roman" w:eastAsia="方正仿宋_GBK" w:cs="Times New Roman"/>
          <w:color w:val="000000"/>
          <w:kern w:val="0"/>
          <w:sz w:val="32"/>
          <w:szCs w:val="32"/>
          <w:lang w:val="en-US" w:eastAsia="zh-CN"/>
        </w:rPr>
        <w:t>扎实做好依申请公开工作，规范政府信息依申请公开办理流程，明确接收、登记、办理、调查、答复等办理环节，实现全闭环办理。2024年共受理公众向亳州市人民政府（办公室）提交的政府信息公开申请60件（其中网络渠道申请22件，信函申请38件），申请内容主要集中在征收拆迁、政府文件等方面，依法办结61件，结转下年度办理3件。</w:t>
      </w:r>
    </w:p>
    <w:p w14:paraId="34B68F09">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72" w:firstLineChars="200"/>
        <w:textAlignment w:val="auto"/>
        <w:rPr>
          <w:rFonts w:hint="eastAsia" w:ascii="Times New Roman" w:hAnsi="Times New Roman" w:eastAsia="方正仿宋_GBK" w:cs="Times New Roman"/>
          <w:color w:val="000000"/>
          <w:kern w:val="0"/>
          <w:sz w:val="32"/>
          <w:szCs w:val="32"/>
          <w:lang w:val="en-US" w:eastAsia="zh-CN"/>
        </w:rPr>
      </w:pPr>
      <w:r>
        <w:rPr>
          <w:rFonts w:hint="eastAsia" w:ascii="方正楷体_GBK" w:hAnsi="方正楷体_GBK" w:eastAsia="方正楷体_GBK" w:cs="方正楷体_GBK"/>
          <w:i w:val="0"/>
          <w:iCs w:val="0"/>
          <w:caps w:val="0"/>
          <w:color w:val="333333"/>
          <w:spacing w:val="8"/>
          <w:sz w:val="32"/>
          <w:szCs w:val="32"/>
          <w:shd w:val="clear" w:color="auto" w:fill="FFFFFF"/>
          <w:lang w:val="en-US" w:eastAsia="zh-CN"/>
        </w:rPr>
        <w:t>（三）政府信息管理。</w:t>
      </w:r>
      <w:r>
        <w:rPr>
          <w:rFonts w:hint="eastAsia" w:ascii="Times New Roman" w:hAnsi="Times New Roman" w:eastAsia="方正仿宋_GBK" w:cs="Times New Roman"/>
          <w:color w:val="000000"/>
          <w:kern w:val="0"/>
          <w:sz w:val="32"/>
          <w:szCs w:val="32"/>
          <w:lang w:val="en-US" w:eastAsia="zh-CN"/>
        </w:rPr>
        <w:t>升级优化政策文件库，归集展示政府规章、行政规范性文件和其他文件，2024年公布亳州市人民政府规章1个，发布市政府（办公室）行政规范性文件7个，其他文件36个。严格落实信息发布“三审三校”制度，提升信息公开质量，减少形式化信息发布，清理过期、容易产生汇聚风险和说明类信息。</w:t>
      </w:r>
    </w:p>
    <w:p w14:paraId="29A6E766">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72" w:firstLineChars="200"/>
        <w:textAlignment w:val="auto"/>
        <w:rPr>
          <w:rFonts w:hint="default" w:ascii="Times New Roman" w:hAnsi="Times New Roman" w:eastAsia="方正仿宋_GBK" w:cs="Times New Roman"/>
          <w:color w:val="000000"/>
          <w:kern w:val="0"/>
          <w:sz w:val="32"/>
          <w:szCs w:val="32"/>
          <w:lang w:val="en-US" w:eastAsia="zh-CN"/>
        </w:rPr>
      </w:pPr>
      <w:r>
        <w:rPr>
          <w:rFonts w:hint="eastAsia" w:ascii="方正楷体_GBK" w:hAnsi="方正楷体_GBK" w:eastAsia="方正楷体_GBK" w:cs="方正楷体_GBK"/>
          <w:i w:val="0"/>
          <w:iCs w:val="0"/>
          <w:caps w:val="0"/>
          <w:color w:val="333333"/>
          <w:spacing w:val="8"/>
          <w:sz w:val="32"/>
          <w:szCs w:val="32"/>
          <w:shd w:val="clear" w:color="auto" w:fill="FFFFFF"/>
          <w:lang w:val="en-US" w:eastAsia="zh-CN"/>
        </w:rPr>
        <w:t>（四）政府信息公开平台建设。</w:t>
      </w:r>
      <w:r>
        <w:rPr>
          <w:rFonts w:hint="default" w:ascii="Times New Roman" w:hAnsi="Times New Roman" w:eastAsia="方正仿宋_GBK" w:cs="Times New Roman"/>
          <w:color w:val="000000"/>
          <w:kern w:val="0"/>
          <w:sz w:val="32"/>
          <w:szCs w:val="32"/>
          <w:lang w:val="en-US" w:eastAsia="zh-CN"/>
        </w:rPr>
        <w:t>一是持续优化网站建设。把政府网站作为政务公开的第一平台，对政府信息主动公开目录进行优化展示，使企业、群众获取信息更便捷、更精准。二是加强政务公开专题建设。新建政府开放日、互动回应工作专题，优化政策解读发布平台等工作专题，一站式</w:t>
      </w:r>
      <w:r>
        <w:rPr>
          <w:rFonts w:hint="eastAsia" w:ascii="Times New Roman" w:hAnsi="Times New Roman" w:eastAsia="方正仿宋_GBK" w:cs="Times New Roman"/>
          <w:color w:val="000000"/>
          <w:kern w:val="0"/>
          <w:sz w:val="32"/>
          <w:szCs w:val="32"/>
          <w:lang w:val="en-US" w:eastAsia="zh-CN"/>
        </w:rPr>
        <w:t>展示</w:t>
      </w:r>
      <w:r>
        <w:rPr>
          <w:rFonts w:hint="default" w:ascii="Times New Roman" w:hAnsi="Times New Roman" w:eastAsia="方正仿宋_GBK" w:cs="Times New Roman"/>
          <w:color w:val="000000"/>
          <w:kern w:val="0"/>
          <w:sz w:val="32"/>
          <w:szCs w:val="32"/>
          <w:lang w:val="en-US" w:eastAsia="zh-CN"/>
        </w:rPr>
        <w:t>政府信息。三是拓宽政府信息公开渠道。编发政府公报，加强电子政报建设，持续通过政务新媒体扩大政府信息传播范围。</w:t>
      </w:r>
    </w:p>
    <w:p w14:paraId="78EE0A8C">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72" w:firstLineChars="200"/>
        <w:textAlignment w:val="auto"/>
        <w:rPr>
          <w:rFonts w:hint="default" w:ascii="Times New Roman" w:hAnsi="Times New Roman" w:eastAsia="方正仿宋_GBK" w:cs="Times New Roman"/>
          <w:color w:val="000000"/>
          <w:kern w:val="0"/>
          <w:sz w:val="32"/>
          <w:szCs w:val="32"/>
          <w:lang w:val="en-US" w:eastAsia="zh-CN"/>
        </w:rPr>
      </w:pPr>
      <w:r>
        <w:rPr>
          <w:rFonts w:hint="default" w:ascii="方正楷体_GBK" w:hAnsi="方正楷体_GBK" w:eastAsia="方正楷体_GBK" w:cs="方正楷体_GBK"/>
          <w:i w:val="0"/>
          <w:iCs w:val="0"/>
          <w:caps w:val="0"/>
          <w:color w:val="333333"/>
          <w:spacing w:val="8"/>
          <w:sz w:val="32"/>
          <w:szCs w:val="32"/>
          <w:shd w:val="clear" w:color="auto" w:fill="FFFFFF"/>
          <w:lang w:val="en-US" w:eastAsia="zh-CN"/>
        </w:rPr>
        <w:t>（五）监督保障。</w:t>
      </w:r>
      <w:r>
        <w:rPr>
          <w:rFonts w:hint="default" w:ascii="Times New Roman" w:hAnsi="Times New Roman" w:eastAsia="方正仿宋_GBK" w:cs="Times New Roman"/>
          <w:color w:val="000000"/>
          <w:kern w:val="0"/>
          <w:sz w:val="32"/>
          <w:szCs w:val="32"/>
          <w:lang w:val="en-US" w:eastAsia="zh-CN"/>
        </w:rPr>
        <w:t>一是常态化开展工作培训。围绕各县区</w:t>
      </w:r>
      <w:r>
        <w:rPr>
          <w:rFonts w:hint="eastAsia" w:ascii="Times New Roman" w:hAnsi="Times New Roman" w:eastAsia="方正仿宋_GBK" w:cs="Times New Roman"/>
          <w:color w:val="000000"/>
          <w:kern w:val="0"/>
          <w:sz w:val="32"/>
          <w:szCs w:val="32"/>
          <w:lang w:val="en-US" w:eastAsia="zh-CN"/>
        </w:rPr>
        <w:t>、各</w:t>
      </w:r>
      <w:r>
        <w:rPr>
          <w:rFonts w:hint="default" w:ascii="Times New Roman" w:hAnsi="Times New Roman" w:eastAsia="方正仿宋_GBK" w:cs="Times New Roman"/>
          <w:color w:val="000000"/>
          <w:kern w:val="0"/>
          <w:sz w:val="32"/>
          <w:szCs w:val="32"/>
          <w:lang w:val="en-US" w:eastAsia="zh-CN"/>
        </w:rPr>
        <w:t>部门工作中存在的业务短板，常态化开展业务培训，</w:t>
      </w:r>
      <w:r>
        <w:rPr>
          <w:rFonts w:hint="eastAsia" w:ascii="Times New Roman" w:hAnsi="Times New Roman" w:eastAsia="方正仿宋_GBK" w:cs="Times New Roman"/>
          <w:color w:val="000000"/>
          <w:kern w:val="0"/>
          <w:sz w:val="32"/>
          <w:szCs w:val="32"/>
          <w:lang w:val="en-US" w:eastAsia="zh-CN"/>
        </w:rPr>
        <w:t>2024</w:t>
      </w:r>
      <w:r>
        <w:rPr>
          <w:rFonts w:hint="default" w:ascii="Times New Roman" w:hAnsi="Times New Roman" w:eastAsia="方正仿宋_GBK" w:cs="Times New Roman"/>
          <w:color w:val="000000"/>
          <w:kern w:val="0"/>
          <w:sz w:val="32"/>
          <w:szCs w:val="32"/>
          <w:lang w:val="en-US" w:eastAsia="zh-CN"/>
        </w:rPr>
        <w:t>年</w:t>
      </w:r>
      <w:r>
        <w:rPr>
          <w:rFonts w:hint="eastAsia" w:ascii="Times New Roman" w:hAnsi="Times New Roman" w:eastAsia="方正仿宋_GBK" w:cs="Times New Roman"/>
          <w:color w:val="000000"/>
          <w:kern w:val="0"/>
          <w:sz w:val="32"/>
          <w:szCs w:val="32"/>
          <w:lang w:val="en-US" w:eastAsia="zh-CN"/>
        </w:rPr>
        <w:t>先后</w:t>
      </w:r>
      <w:r>
        <w:rPr>
          <w:rFonts w:hint="default" w:ascii="Times New Roman" w:hAnsi="Times New Roman" w:eastAsia="方正仿宋_GBK" w:cs="Times New Roman"/>
          <w:color w:val="000000"/>
          <w:kern w:val="0"/>
          <w:sz w:val="32"/>
          <w:szCs w:val="32"/>
          <w:lang w:val="en-US" w:eastAsia="zh-CN"/>
        </w:rPr>
        <w:t>开展线上线下培训10</w:t>
      </w:r>
      <w:r>
        <w:rPr>
          <w:rFonts w:hint="eastAsia" w:ascii="Times New Roman" w:hAnsi="Times New Roman" w:eastAsia="方正仿宋_GBK" w:cs="Times New Roman"/>
          <w:color w:val="000000"/>
          <w:kern w:val="0"/>
          <w:sz w:val="32"/>
          <w:szCs w:val="32"/>
          <w:lang w:val="en-US" w:eastAsia="zh-CN"/>
        </w:rPr>
        <w:t>余次，累计培训近千人次。二是开展政务公开效果社会评议，共收集有效调查问卷735份，围绕信息发布、政策解读、互动交流等方面搜集网友建议</w:t>
      </w:r>
      <w:r>
        <w:rPr>
          <w:rFonts w:hint="default" w:ascii="Times New Roman" w:hAnsi="Times New Roman" w:eastAsia="方正仿宋_GBK" w:cs="Times New Roman"/>
          <w:color w:val="000000"/>
          <w:kern w:val="0"/>
          <w:sz w:val="32"/>
          <w:szCs w:val="32"/>
          <w:lang w:val="en-US" w:eastAsia="zh-CN"/>
        </w:rPr>
        <w:t>。</w:t>
      </w:r>
      <w:r>
        <w:rPr>
          <w:rFonts w:hint="eastAsia" w:ascii="Times New Roman" w:hAnsi="Times New Roman" w:eastAsia="方正仿宋_GBK" w:cs="Times New Roman"/>
          <w:color w:val="000000"/>
          <w:kern w:val="0"/>
          <w:sz w:val="32"/>
          <w:szCs w:val="32"/>
          <w:lang w:val="en-US" w:eastAsia="zh-CN"/>
        </w:rPr>
        <w:t>全年未因政务公开被追责问责。</w:t>
      </w:r>
    </w:p>
    <w:p w14:paraId="724D2E9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二、主动公开政府信息情况</w:t>
      </w:r>
    </w:p>
    <w:tbl>
      <w:tblPr>
        <w:tblStyle w:val="2"/>
        <w:tblW w:w="5000" w:type="pct"/>
        <w:jc w:val="center"/>
        <w:tblLayout w:type="autofit"/>
        <w:tblCellMar>
          <w:top w:w="0" w:type="dxa"/>
          <w:left w:w="0" w:type="dxa"/>
          <w:bottom w:w="0" w:type="dxa"/>
          <w:right w:w="0" w:type="dxa"/>
        </w:tblCellMar>
      </w:tblPr>
      <w:tblGrid>
        <w:gridCol w:w="2081"/>
        <w:gridCol w:w="2081"/>
        <w:gridCol w:w="2082"/>
        <w:gridCol w:w="2082"/>
      </w:tblGrid>
      <w:tr w14:paraId="6065457F">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14:paraId="2D5176C3">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第二十条第（一）项</w:t>
            </w:r>
          </w:p>
        </w:tc>
      </w:tr>
      <w:tr w14:paraId="5735F377">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4743CC0F">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653501ED">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w:t>
            </w:r>
            <w:r>
              <w:rPr>
                <w:rFonts w:hint="default" w:ascii="Times New Roman" w:hAnsi="Times New Roman" w:eastAsia="方正仿宋_GBK" w:cs="Times New Roman"/>
                <w:kern w:val="0"/>
                <w:sz w:val="20"/>
                <w:szCs w:val="20"/>
              </w:rPr>
              <w:t>制发件数</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1CA5FDE2">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本年废止件数</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3C34FB2C">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现行有效件</w:t>
            </w:r>
            <w:r>
              <w:rPr>
                <w:rFonts w:hint="default" w:ascii="Times New Roman" w:hAnsi="Times New Roman" w:eastAsia="方正仿宋_GBK" w:cs="Times New Roman"/>
                <w:kern w:val="0"/>
                <w:sz w:val="20"/>
                <w:szCs w:val="20"/>
              </w:rPr>
              <w:t>数</w:t>
            </w:r>
          </w:p>
        </w:tc>
      </w:tr>
      <w:tr w14:paraId="36ACED9E">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51F030B8">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规章</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0B5520DE">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3E892AE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10E9399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8</w:t>
            </w:r>
            <w:bookmarkStart w:id="0" w:name="_GoBack"/>
            <w:bookmarkEnd w:id="0"/>
          </w:p>
        </w:tc>
      </w:tr>
      <w:tr w14:paraId="18A21508">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0B9E320C">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行政规范性文件</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2C3F29CB">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7</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39B0EE55">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60</w:t>
            </w:r>
          </w:p>
        </w:tc>
        <w:tc>
          <w:tcPr>
            <w:tcW w:w="1250" w:type="pct"/>
            <w:tcBorders>
              <w:top w:val="single" w:color="auto" w:sz="8" w:space="0"/>
              <w:left w:val="single" w:color="auto" w:sz="8" w:space="0"/>
              <w:bottom w:val="single" w:color="auto" w:sz="8" w:space="0"/>
              <w:right w:val="single" w:color="auto" w:sz="8" w:space="0"/>
            </w:tcBorders>
            <w:noWrap w:val="0"/>
            <w:vAlign w:val="center"/>
          </w:tcPr>
          <w:p w14:paraId="55A2ACC3">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341</w:t>
            </w:r>
          </w:p>
        </w:tc>
      </w:tr>
      <w:tr w14:paraId="6A60FA2B">
        <w:tblPrEx>
          <w:tblCellMar>
            <w:top w:w="0" w:type="dxa"/>
            <w:left w:w="0" w:type="dxa"/>
            <w:bottom w:w="0" w:type="dxa"/>
            <w:right w:w="0" w:type="dxa"/>
          </w:tblCellMar>
        </w:tblPrEx>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14:paraId="16C25FD8">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第二十条第（五）项</w:t>
            </w:r>
          </w:p>
        </w:tc>
      </w:tr>
      <w:tr w14:paraId="4D82C304">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57A8562E">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6101F54C">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本年处理决定数量</w:t>
            </w:r>
          </w:p>
        </w:tc>
      </w:tr>
      <w:tr w14:paraId="205608E5">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3064A0EC">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行政许可</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54ADCA03">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25D55D5B">
        <w:tblPrEx>
          <w:tblCellMar>
            <w:top w:w="0" w:type="dxa"/>
            <w:left w:w="0" w:type="dxa"/>
            <w:bottom w:w="0" w:type="dxa"/>
            <w:right w:w="0" w:type="dxa"/>
          </w:tblCellMar>
        </w:tblPrEx>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14:paraId="4D013C15">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第二十条第（六）项</w:t>
            </w:r>
          </w:p>
        </w:tc>
      </w:tr>
      <w:tr w14:paraId="137B1F64">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737AAF86">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7C6CDF6E">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本年处理决定数量</w:t>
            </w:r>
          </w:p>
        </w:tc>
      </w:tr>
      <w:tr w14:paraId="155BF77A">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0072B642">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行政处罚</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3E33D606">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2E1DCE37">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2031DD6D">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行政强制</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5D3C58A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688B194D">
        <w:tblPrEx>
          <w:tblCellMar>
            <w:top w:w="0" w:type="dxa"/>
            <w:left w:w="0" w:type="dxa"/>
            <w:bottom w:w="0" w:type="dxa"/>
            <w:right w:w="0" w:type="dxa"/>
          </w:tblCellMar>
        </w:tblPrEx>
        <w:trPr>
          <w:jc w:val="center"/>
        </w:trPr>
        <w:tc>
          <w:tcPr>
            <w:tcW w:w="5000" w:type="pct"/>
            <w:gridSpan w:val="4"/>
            <w:tcBorders>
              <w:top w:val="single" w:color="auto" w:sz="8" w:space="0"/>
              <w:left w:val="single" w:color="auto" w:sz="8" w:space="0"/>
              <w:bottom w:val="single" w:color="auto" w:sz="8" w:space="0"/>
              <w:right w:val="single" w:color="auto" w:sz="8" w:space="0"/>
            </w:tcBorders>
            <w:shd w:val="clear" w:color="auto" w:fill="C6D9F1"/>
            <w:noWrap w:val="0"/>
            <w:vAlign w:val="center"/>
          </w:tcPr>
          <w:p w14:paraId="4DDE9DF5">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第二十条第（八）项</w:t>
            </w:r>
          </w:p>
        </w:tc>
      </w:tr>
      <w:tr w14:paraId="3394AF3B">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top"/>
          </w:tcPr>
          <w:p w14:paraId="6D23519A">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信息内容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668F6C71">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本年收费金额（单位：万元）</w:t>
            </w:r>
          </w:p>
        </w:tc>
      </w:tr>
      <w:tr w14:paraId="3039A0FA">
        <w:tblPrEx>
          <w:tblCellMar>
            <w:top w:w="0" w:type="dxa"/>
            <w:left w:w="0" w:type="dxa"/>
            <w:bottom w:w="0" w:type="dxa"/>
            <w:right w:w="0" w:type="dxa"/>
          </w:tblCellMar>
        </w:tblPrEx>
        <w:trPr>
          <w:jc w:val="center"/>
        </w:trPr>
        <w:tc>
          <w:tcPr>
            <w:tcW w:w="1250" w:type="pct"/>
            <w:tcBorders>
              <w:top w:val="single" w:color="auto" w:sz="8" w:space="0"/>
              <w:left w:val="single" w:color="auto" w:sz="8" w:space="0"/>
              <w:bottom w:val="single" w:color="auto" w:sz="8" w:space="0"/>
              <w:right w:val="single" w:color="auto" w:sz="8" w:space="0"/>
            </w:tcBorders>
            <w:noWrap w:val="0"/>
            <w:vAlign w:val="center"/>
          </w:tcPr>
          <w:p w14:paraId="4A663AD4">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行政事业性收费</w:t>
            </w:r>
          </w:p>
        </w:tc>
        <w:tc>
          <w:tcPr>
            <w:tcW w:w="3750" w:type="pct"/>
            <w:gridSpan w:val="3"/>
            <w:tcBorders>
              <w:top w:val="single" w:color="auto" w:sz="8" w:space="0"/>
              <w:left w:val="single" w:color="auto" w:sz="8" w:space="0"/>
              <w:bottom w:val="single" w:color="auto" w:sz="8" w:space="0"/>
              <w:right w:val="single" w:color="auto" w:sz="8" w:space="0"/>
            </w:tcBorders>
            <w:noWrap w:val="0"/>
            <w:vAlign w:val="center"/>
          </w:tcPr>
          <w:p w14:paraId="784D7A17">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bl>
    <w:p w14:paraId="665C7A4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三、收到和处理政府信息公开申请情况</w:t>
      </w:r>
    </w:p>
    <w:tbl>
      <w:tblPr>
        <w:tblStyle w:val="2"/>
        <w:tblW w:w="5036" w:type="pct"/>
        <w:jc w:val="center"/>
        <w:tblLayout w:type="autofit"/>
        <w:tblCellMar>
          <w:top w:w="0" w:type="dxa"/>
          <w:left w:w="0" w:type="dxa"/>
          <w:bottom w:w="0" w:type="dxa"/>
          <w:right w:w="0" w:type="dxa"/>
        </w:tblCellMar>
      </w:tblPr>
      <w:tblGrid>
        <w:gridCol w:w="590"/>
        <w:gridCol w:w="756"/>
        <w:gridCol w:w="2883"/>
        <w:gridCol w:w="590"/>
        <w:gridCol w:w="591"/>
        <w:gridCol w:w="591"/>
        <w:gridCol w:w="591"/>
        <w:gridCol w:w="591"/>
        <w:gridCol w:w="602"/>
        <w:gridCol w:w="601"/>
      </w:tblGrid>
      <w:tr w14:paraId="3BDE4B84">
        <w:trPr>
          <w:jc w:val="center"/>
        </w:trPr>
        <w:tc>
          <w:tcPr>
            <w:tcW w:w="2522" w:type="pct"/>
            <w:gridSpan w:val="3"/>
            <w:vMerge w:val="restart"/>
            <w:tcBorders>
              <w:top w:val="inset" w:color="auto" w:sz="8" w:space="0"/>
              <w:left w:val="inset" w:color="auto" w:sz="8" w:space="0"/>
              <w:bottom w:val="inset" w:color="auto" w:sz="8" w:space="0"/>
              <w:right w:val="inset" w:color="auto" w:sz="8" w:space="0"/>
            </w:tcBorders>
            <w:noWrap w:val="0"/>
            <w:vAlign w:val="center"/>
          </w:tcPr>
          <w:p w14:paraId="73A063D1">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（本列数据的勾稽关系为：第一项加第二项之和，等于第三项加第四项之和）</w:t>
            </w:r>
          </w:p>
        </w:tc>
        <w:tc>
          <w:tcPr>
            <w:tcW w:w="2477" w:type="pct"/>
            <w:gridSpan w:val="7"/>
            <w:tcBorders>
              <w:top w:val="single" w:color="auto" w:sz="8" w:space="0"/>
              <w:left w:val="single" w:color="auto" w:sz="8" w:space="0"/>
              <w:bottom w:val="single" w:color="auto" w:sz="8" w:space="0"/>
              <w:right w:val="single" w:color="auto" w:sz="8" w:space="0"/>
            </w:tcBorders>
            <w:noWrap w:val="0"/>
            <w:vAlign w:val="center"/>
          </w:tcPr>
          <w:p w14:paraId="44FAD3DD">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申请人情况</w:t>
            </w:r>
          </w:p>
        </w:tc>
      </w:tr>
      <w:tr w14:paraId="043D94C6">
        <w:tblPrEx>
          <w:tblCellMar>
            <w:top w:w="0" w:type="dxa"/>
            <w:left w:w="0" w:type="dxa"/>
            <w:bottom w:w="0" w:type="dxa"/>
            <w:right w:w="0" w:type="dxa"/>
          </w:tblCellMar>
        </w:tblPrEx>
        <w:trPr>
          <w:jc w:val="center"/>
        </w:trPr>
        <w:tc>
          <w:tcPr>
            <w:tcW w:w="0" w:type="auto"/>
            <w:gridSpan w:val="3"/>
            <w:vMerge w:val="continue"/>
            <w:tcBorders>
              <w:top w:val="inset" w:color="auto" w:sz="8" w:space="0"/>
              <w:left w:val="inset" w:color="auto" w:sz="8" w:space="0"/>
              <w:bottom w:val="inset" w:color="auto" w:sz="8" w:space="0"/>
              <w:right w:val="inset" w:color="auto" w:sz="8" w:space="0"/>
            </w:tcBorders>
            <w:noWrap w:val="0"/>
            <w:vAlign w:val="center"/>
          </w:tcPr>
          <w:p w14:paraId="634A14D8">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352" w:type="pct"/>
            <w:vMerge w:val="restart"/>
            <w:tcBorders>
              <w:top w:val="single" w:color="auto" w:sz="8" w:space="0"/>
              <w:left w:val="single" w:color="auto" w:sz="8" w:space="0"/>
              <w:bottom w:val="single" w:color="auto" w:sz="8" w:space="0"/>
              <w:right w:val="single" w:color="auto" w:sz="8" w:space="0"/>
            </w:tcBorders>
            <w:noWrap w:val="0"/>
            <w:vAlign w:val="center"/>
          </w:tcPr>
          <w:p w14:paraId="563B6906">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自然人</w:t>
            </w:r>
          </w:p>
        </w:tc>
        <w:tc>
          <w:tcPr>
            <w:tcW w:w="1767" w:type="pct"/>
            <w:gridSpan w:val="5"/>
            <w:tcBorders>
              <w:top w:val="single" w:color="auto" w:sz="8" w:space="0"/>
              <w:left w:val="single" w:color="auto" w:sz="8" w:space="0"/>
              <w:bottom w:val="single" w:color="auto" w:sz="8" w:space="0"/>
              <w:right w:val="single" w:color="auto" w:sz="8" w:space="0"/>
            </w:tcBorders>
            <w:noWrap w:val="0"/>
            <w:vAlign w:val="center"/>
          </w:tcPr>
          <w:p w14:paraId="021ECCE3">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法人或其他组织</w:t>
            </w:r>
          </w:p>
        </w:tc>
        <w:tc>
          <w:tcPr>
            <w:tcW w:w="357" w:type="pct"/>
            <w:vMerge w:val="restart"/>
            <w:tcBorders>
              <w:top w:val="inset" w:color="auto" w:sz="8" w:space="0"/>
              <w:left w:val="inset" w:color="auto" w:sz="8" w:space="0"/>
              <w:bottom w:val="inset" w:color="auto" w:sz="8" w:space="0"/>
              <w:right w:val="inset" w:color="auto" w:sz="8" w:space="0"/>
            </w:tcBorders>
            <w:noWrap w:val="0"/>
            <w:vAlign w:val="center"/>
          </w:tcPr>
          <w:p w14:paraId="73B138DE">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总计</w:t>
            </w:r>
          </w:p>
        </w:tc>
      </w:tr>
      <w:tr w14:paraId="0174D84C">
        <w:tblPrEx>
          <w:tblCellMar>
            <w:top w:w="0" w:type="dxa"/>
            <w:left w:w="0" w:type="dxa"/>
            <w:bottom w:w="0" w:type="dxa"/>
            <w:right w:w="0" w:type="dxa"/>
          </w:tblCellMar>
        </w:tblPrEx>
        <w:trPr>
          <w:jc w:val="center"/>
        </w:trPr>
        <w:tc>
          <w:tcPr>
            <w:tcW w:w="0" w:type="auto"/>
            <w:gridSpan w:val="3"/>
            <w:vMerge w:val="continue"/>
            <w:tcBorders>
              <w:top w:val="inset" w:color="auto" w:sz="8" w:space="0"/>
              <w:left w:val="inset" w:color="auto" w:sz="8" w:space="0"/>
              <w:bottom w:val="inset" w:color="auto" w:sz="8" w:space="0"/>
              <w:right w:val="inset" w:color="auto" w:sz="8" w:space="0"/>
            </w:tcBorders>
            <w:noWrap w:val="0"/>
            <w:vAlign w:val="center"/>
          </w:tcPr>
          <w:p w14:paraId="58D440A1">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1310BDE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352" w:type="pct"/>
            <w:tcBorders>
              <w:top w:val="single" w:color="auto" w:sz="8" w:space="0"/>
              <w:left w:val="single" w:color="auto" w:sz="8" w:space="0"/>
              <w:bottom w:val="single" w:color="auto" w:sz="8" w:space="0"/>
              <w:right w:val="single" w:color="auto" w:sz="8" w:space="0"/>
            </w:tcBorders>
            <w:noWrap w:val="0"/>
            <w:vAlign w:val="center"/>
          </w:tcPr>
          <w:p w14:paraId="124D13CE">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商业</w:t>
            </w:r>
          </w:p>
          <w:p w14:paraId="209FE7D1">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企业</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BBF011B">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科研</w:t>
            </w:r>
          </w:p>
          <w:p w14:paraId="5F6FF629">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机构</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FF16D29">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社会公益组织</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A995CC8">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法律服务机构</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4FC41D0C">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ABFDF8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r>
      <w:tr w14:paraId="642DB7B1">
        <w:tblPrEx>
          <w:tblCellMar>
            <w:top w:w="0" w:type="dxa"/>
            <w:left w:w="0" w:type="dxa"/>
            <w:bottom w:w="0" w:type="dxa"/>
            <w:right w:w="0" w:type="dxa"/>
          </w:tblCellMar>
        </w:tblPrEx>
        <w:trPr>
          <w:jc w:val="center"/>
        </w:trPr>
        <w:tc>
          <w:tcPr>
            <w:tcW w:w="2522" w:type="pct"/>
            <w:gridSpan w:val="3"/>
            <w:tcBorders>
              <w:top w:val="single" w:color="auto" w:sz="8" w:space="0"/>
              <w:left w:val="single" w:color="auto" w:sz="8" w:space="0"/>
              <w:bottom w:val="single" w:color="auto" w:sz="8" w:space="0"/>
              <w:right w:val="single" w:color="auto" w:sz="8" w:space="0"/>
            </w:tcBorders>
            <w:noWrap w:val="0"/>
            <w:vAlign w:val="center"/>
          </w:tcPr>
          <w:p w14:paraId="16082C53">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一、本年新收政府信息公开申请数量</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FBAE527">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57</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4C7746A">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123FD3A">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3F9A166">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2AD26F6">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23A09BF3">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46AC103C">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60</w:t>
            </w:r>
          </w:p>
        </w:tc>
      </w:tr>
      <w:tr w14:paraId="45CD2005">
        <w:tblPrEx>
          <w:tblCellMar>
            <w:top w:w="0" w:type="dxa"/>
            <w:left w:w="0" w:type="dxa"/>
            <w:bottom w:w="0" w:type="dxa"/>
            <w:right w:w="0" w:type="dxa"/>
          </w:tblCellMar>
        </w:tblPrEx>
        <w:trPr>
          <w:jc w:val="center"/>
        </w:trPr>
        <w:tc>
          <w:tcPr>
            <w:tcW w:w="2522" w:type="pct"/>
            <w:gridSpan w:val="3"/>
            <w:tcBorders>
              <w:top w:val="single" w:color="auto" w:sz="8" w:space="0"/>
              <w:left w:val="single" w:color="auto" w:sz="8" w:space="0"/>
              <w:bottom w:val="single" w:color="auto" w:sz="8" w:space="0"/>
              <w:right w:val="single" w:color="auto" w:sz="8" w:space="0"/>
            </w:tcBorders>
            <w:noWrap w:val="0"/>
            <w:vAlign w:val="center"/>
          </w:tcPr>
          <w:p w14:paraId="15594886">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二、上年结转政府信息公开申请数量</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A13C4AC">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BD202EB">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166824A">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1CAB27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8841377">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69A3144B">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7C037B3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r>
      <w:tr w14:paraId="2C7CEF81">
        <w:tblPrEx>
          <w:tblCellMar>
            <w:top w:w="0" w:type="dxa"/>
            <w:left w:w="0" w:type="dxa"/>
            <w:bottom w:w="0" w:type="dxa"/>
            <w:right w:w="0" w:type="dxa"/>
          </w:tblCellMar>
        </w:tblPrEx>
        <w:trPr>
          <w:jc w:val="center"/>
        </w:trPr>
        <w:tc>
          <w:tcPr>
            <w:tcW w:w="352" w:type="pct"/>
            <w:vMerge w:val="restart"/>
            <w:tcBorders>
              <w:top w:val="inset" w:color="auto" w:sz="8" w:space="0"/>
              <w:left w:val="inset" w:color="auto" w:sz="8" w:space="0"/>
              <w:bottom w:val="inset" w:color="auto" w:sz="8" w:space="0"/>
              <w:right w:val="inset" w:color="auto" w:sz="8" w:space="0"/>
            </w:tcBorders>
            <w:noWrap w:val="0"/>
            <w:vAlign w:val="center"/>
          </w:tcPr>
          <w:p w14:paraId="502C29FB">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三、本年度办理结果</w:t>
            </w:r>
          </w:p>
        </w:tc>
        <w:tc>
          <w:tcPr>
            <w:tcW w:w="2170" w:type="pct"/>
            <w:gridSpan w:val="2"/>
            <w:tcBorders>
              <w:top w:val="single" w:color="auto" w:sz="8" w:space="0"/>
              <w:left w:val="single" w:color="auto" w:sz="8" w:space="0"/>
              <w:bottom w:val="single" w:color="auto" w:sz="8" w:space="0"/>
              <w:right w:val="single" w:color="auto" w:sz="8" w:space="0"/>
            </w:tcBorders>
            <w:noWrap w:val="0"/>
            <w:vAlign w:val="center"/>
          </w:tcPr>
          <w:p w14:paraId="315E5116">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（一）予以公开</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B9264C1">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14</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5E5AAB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ADC1C2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814A408">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C19C80A">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2485689E">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6B31B93B">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14</w:t>
            </w:r>
          </w:p>
        </w:tc>
      </w:tr>
      <w:tr w14:paraId="0DD43300">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D5E8899">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2170" w:type="pct"/>
            <w:gridSpan w:val="2"/>
            <w:tcBorders>
              <w:top w:val="single" w:color="auto" w:sz="8" w:space="0"/>
              <w:left w:val="single" w:color="auto" w:sz="8" w:space="0"/>
              <w:bottom w:val="single" w:color="auto" w:sz="8" w:space="0"/>
              <w:right w:val="single" w:color="auto" w:sz="8" w:space="0"/>
            </w:tcBorders>
            <w:noWrap w:val="0"/>
            <w:vAlign w:val="center"/>
          </w:tcPr>
          <w:p w14:paraId="4EB7729A">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（二）部分公开（区分处理的，只计这一情形，不计其他情形）</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1BC916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4</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5E71D75">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F5952C9">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6481490">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FF49CC9">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7383B8D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7E90C381">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7</w:t>
            </w:r>
          </w:p>
        </w:tc>
      </w:tr>
      <w:tr w14:paraId="79B412C1">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2C7C64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51" w:type="pct"/>
            <w:vMerge w:val="restart"/>
            <w:tcBorders>
              <w:top w:val="inset" w:color="auto" w:sz="8" w:space="0"/>
              <w:left w:val="inset" w:color="auto" w:sz="8" w:space="0"/>
              <w:bottom w:val="inset" w:color="auto" w:sz="8" w:space="0"/>
              <w:right w:val="inset" w:color="auto" w:sz="8" w:space="0"/>
            </w:tcBorders>
            <w:noWrap w:val="0"/>
            <w:vAlign w:val="center"/>
          </w:tcPr>
          <w:p w14:paraId="0E355BA0">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（三）不予公开</w:t>
            </w:r>
          </w:p>
        </w:tc>
        <w:tc>
          <w:tcPr>
            <w:tcW w:w="1718" w:type="pct"/>
            <w:tcBorders>
              <w:top w:val="single" w:color="auto" w:sz="8" w:space="0"/>
              <w:left w:val="single" w:color="auto" w:sz="8" w:space="0"/>
              <w:bottom w:val="single" w:color="auto" w:sz="8" w:space="0"/>
              <w:right w:val="single" w:color="auto" w:sz="8" w:space="0"/>
            </w:tcBorders>
            <w:noWrap w:val="0"/>
            <w:vAlign w:val="center"/>
          </w:tcPr>
          <w:p w14:paraId="19832AC6">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1.属于国家秘密</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EF37A52">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E4F0410">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C6790D6">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39FF6FB">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6FF3DD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EFA6C4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4B1B0CD0">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05128274">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58D0B177">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6C1439C">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691F0435">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2.其他法律行政法规禁止公开</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47CFD68">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C9B000C">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23C2B3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22DFCDE">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D41D292">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3BCA9A19">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4B266BE9">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1AD70E14">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FDFE138">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50BFBDDD">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4D41A19C">
            <w:pPr>
              <w:keepNext w:val="0"/>
              <w:keepLines w:val="0"/>
              <w:pageBreakBefore w:val="0"/>
              <w:widowControl/>
              <w:kinsoku/>
              <w:wordWrap/>
              <w:overflowPunct/>
              <w:topLinePunct w:val="0"/>
              <w:autoSpaceDE/>
              <w:autoSpaceDN/>
              <w:bidi w:val="0"/>
              <w:adjustRightInd/>
              <w:snapToGrid/>
              <w:spacing w:line="590" w:lineRule="exact"/>
              <w:textAlignment w:val="auto"/>
              <w:rPr>
                <w:rFonts w:hint="eastAsia" w:ascii="Times New Roman" w:hAnsi="Times New Roman" w:eastAsia="方正仿宋_GBK" w:cs="Times New Roman"/>
                <w:kern w:val="0"/>
                <w:sz w:val="24"/>
                <w:szCs w:val="24"/>
                <w:lang w:eastAsia="zh-CN"/>
              </w:rPr>
            </w:pPr>
            <w:r>
              <w:rPr>
                <w:rFonts w:hint="default" w:ascii="Times New Roman" w:hAnsi="Times New Roman" w:eastAsia="方正仿宋_GBK" w:cs="Times New Roman"/>
                <w:kern w:val="0"/>
                <w:sz w:val="20"/>
                <w:szCs w:val="20"/>
              </w:rPr>
              <w:t>3.危及</w:t>
            </w:r>
            <w:r>
              <w:rPr>
                <w:rFonts w:hint="eastAsia" w:ascii="Times New Roman" w:hAnsi="Times New Roman" w:eastAsia="方正仿宋_GBK" w:cs="Times New Roman"/>
                <w:kern w:val="0"/>
                <w:sz w:val="20"/>
                <w:szCs w:val="20"/>
                <w:lang w:eastAsia="zh-CN"/>
              </w:rPr>
              <w:t>“</w:t>
            </w:r>
            <w:r>
              <w:rPr>
                <w:rFonts w:hint="default" w:ascii="Times New Roman" w:hAnsi="Times New Roman" w:eastAsia="方正仿宋_GBK" w:cs="Times New Roman"/>
                <w:kern w:val="0"/>
                <w:sz w:val="20"/>
                <w:szCs w:val="20"/>
              </w:rPr>
              <w:t>三安全一稳定</w:t>
            </w:r>
            <w:r>
              <w:rPr>
                <w:rFonts w:hint="eastAsia" w:ascii="Times New Roman" w:hAnsi="Times New Roman" w:eastAsia="方正仿宋_GBK" w:cs="Times New Roman"/>
                <w:kern w:val="0"/>
                <w:sz w:val="20"/>
                <w:szCs w:val="20"/>
                <w:lang w:eastAsia="zh-CN"/>
              </w:rPr>
              <w:t>”</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4D32D69">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87E51FF">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AAA671F">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3B25E5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322EA86">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574C97A">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2DCE6C2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19F62CB3">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57961C2">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AC8EF9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4E52D9D9">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4.保护第三方合法权益</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94E3447">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20D0D3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FF5A26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BECD54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251676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2078347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2C45A55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04CFECE3">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6D7016D9">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4D01C62">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55D12E0B">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5.属于三类内部事务信息</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4FB544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941364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EC3219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F05511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A5CB4F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2E953C2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7E59AC6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48D9BC4E">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BA016A7">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F867DE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0D9965D1">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6.属于四类过程性信息</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AF2F5C9">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6126C1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5F4CFC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C2A385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3F5EF2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108E94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5C7ACB1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5C803A9C">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6FA552EB">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5854F8AA">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2DC311AF">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7.属于行政执法案卷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1EFD35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249CFB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F09F259">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5AC771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AE52B3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99AC27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508A7BD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188C39D3">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AA0BA0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80B858A">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545E9198">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8.属于行政查询事项</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16EE52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3BEFBB9">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1DD7912">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DA82DD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81F3D4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E6408A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5ABDFD27">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4805AFB7">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1071537">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51" w:type="pct"/>
            <w:vMerge w:val="restart"/>
            <w:tcBorders>
              <w:top w:val="inset" w:color="auto" w:sz="8" w:space="0"/>
              <w:left w:val="inset" w:color="auto" w:sz="8" w:space="0"/>
              <w:bottom w:val="inset" w:color="auto" w:sz="8" w:space="0"/>
              <w:right w:val="inset" w:color="auto" w:sz="8" w:space="0"/>
            </w:tcBorders>
            <w:noWrap w:val="0"/>
            <w:vAlign w:val="center"/>
          </w:tcPr>
          <w:p w14:paraId="70543169">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（四）无法提供</w:t>
            </w:r>
          </w:p>
        </w:tc>
        <w:tc>
          <w:tcPr>
            <w:tcW w:w="1718" w:type="pct"/>
            <w:tcBorders>
              <w:top w:val="single" w:color="auto" w:sz="8" w:space="0"/>
              <w:left w:val="single" w:color="auto" w:sz="8" w:space="0"/>
              <w:bottom w:val="single" w:color="auto" w:sz="8" w:space="0"/>
              <w:right w:val="single" w:color="auto" w:sz="8" w:space="0"/>
            </w:tcBorders>
            <w:noWrap w:val="0"/>
            <w:vAlign w:val="center"/>
          </w:tcPr>
          <w:p w14:paraId="7DCBDE41">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1.本机关不掌握相关政府信息</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F1742FF">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28</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80F376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EB47A3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EBB7D4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FE73F3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0EBBA247">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657B2772">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28</w:t>
            </w:r>
          </w:p>
        </w:tc>
      </w:tr>
      <w:tr w14:paraId="7C6BB220">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F3ECC16">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F3CAB0F">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71471CFD">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2.没有现成信息需要另行制作</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517A8D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597DC8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5FEFF5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294651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780F79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0B85D5F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00EE597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1</w:t>
            </w:r>
          </w:p>
        </w:tc>
      </w:tr>
      <w:tr w14:paraId="4E830A77">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7761361">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6DA7A61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12C7929A">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3.补正后申请内容仍不明确</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C53DB7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8CE729D">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BB897C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2D8B519">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8EAC82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02DE02B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0665224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0C0F950A">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32BD16F">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51" w:type="pct"/>
            <w:vMerge w:val="restart"/>
            <w:tcBorders>
              <w:top w:val="inset" w:color="auto" w:sz="8" w:space="0"/>
              <w:left w:val="inset" w:color="auto" w:sz="8" w:space="0"/>
              <w:bottom w:val="inset" w:color="auto" w:sz="8" w:space="0"/>
              <w:right w:val="inset" w:color="auto" w:sz="8" w:space="0"/>
            </w:tcBorders>
            <w:noWrap w:val="0"/>
            <w:vAlign w:val="center"/>
          </w:tcPr>
          <w:p w14:paraId="3DFC8E24">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（五）不予处理</w:t>
            </w:r>
          </w:p>
        </w:tc>
        <w:tc>
          <w:tcPr>
            <w:tcW w:w="1718" w:type="pct"/>
            <w:tcBorders>
              <w:top w:val="single" w:color="auto" w:sz="8" w:space="0"/>
              <w:left w:val="single" w:color="auto" w:sz="8" w:space="0"/>
              <w:bottom w:val="single" w:color="auto" w:sz="8" w:space="0"/>
              <w:right w:val="single" w:color="auto" w:sz="8" w:space="0"/>
            </w:tcBorders>
            <w:noWrap w:val="0"/>
            <w:vAlign w:val="center"/>
          </w:tcPr>
          <w:p w14:paraId="2026EC0E">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1.信访举报投诉类申请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CCF2AB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300DAA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C90DB9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9B7E58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17C14B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6205FDE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14328D9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6E55C70F">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2D8D9928">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F14AB7D">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0D3E810F">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2.重复申请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629088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FA4F60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4820F5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207961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5DCE39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3BD7760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0DBB5BE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73F2E89E">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46CAEC6">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6F213DCF">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430F5D74">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3.要求提供公开出版物</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35E43B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C9ABEB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8758B5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DB4740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22C5D7D">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7694419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563ACFF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10570B43">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4002259">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7344DF84">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79903062">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4.无正当理由大量反复申请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1020C2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8B747B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5CE393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2E02A3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93E0AD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39778469">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64EEECE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5A95E6AE">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CB48975">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17B7A5D">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inset" w:color="auto" w:sz="8" w:space="0"/>
              <w:left w:val="inset" w:color="auto" w:sz="8" w:space="0"/>
              <w:bottom w:val="inset" w:color="auto" w:sz="8" w:space="0"/>
              <w:right w:val="inset" w:color="auto" w:sz="8" w:space="0"/>
            </w:tcBorders>
            <w:noWrap w:val="0"/>
            <w:vAlign w:val="center"/>
          </w:tcPr>
          <w:p w14:paraId="46351119">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5.要求行政机关确认或重新出具已获取信息</w:t>
            </w:r>
          </w:p>
        </w:tc>
        <w:tc>
          <w:tcPr>
            <w:tcW w:w="352" w:type="pct"/>
            <w:tcBorders>
              <w:top w:val="inset" w:color="auto" w:sz="8" w:space="0"/>
              <w:left w:val="inset" w:color="auto" w:sz="8" w:space="0"/>
              <w:bottom w:val="inset" w:color="auto" w:sz="8" w:space="0"/>
              <w:right w:val="inset" w:color="auto" w:sz="8" w:space="0"/>
            </w:tcBorders>
            <w:noWrap w:val="0"/>
            <w:vAlign w:val="center"/>
          </w:tcPr>
          <w:p w14:paraId="7289E79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inset" w:color="auto" w:sz="8" w:space="0"/>
              <w:left w:val="inset" w:color="auto" w:sz="8" w:space="0"/>
              <w:bottom w:val="inset" w:color="auto" w:sz="8" w:space="0"/>
              <w:right w:val="inset" w:color="auto" w:sz="8" w:space="0"/>
            </w:tcBorders>
            <w:noWrap w:val="0"/>
            <w:vAlign w:val="center"/>
          </w:tcPr>
          <w:p w14:paraId="542B9EB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inset" w:color="auto" w:sz="8" w:space="0"/>
              <w:left w:val="inset" w:color="auto" w:sz="8" w:space="0"/>
              <w:bottom w:val="inset" w:color="auto" w:sz="8" w:space="0"/>
              <w:right w:val="inset" w:color="auto" w:sz="8" w:space="0"/>
            </w:tcBorders>
            <w:noWrap w:val="0"/>
            <w:vAlign w:val="center"/>
          </w:tcPr>
          <w:p w14:paraId="326006ED">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inset" w:color="auto" w:sz="8" w:space="0"/>
              <w:left w:val="inset" w:color="auto" w:sz="8" w:space="0"/>
              <w:bottom w:val="inset" w:color="auto" w:sz="8" w:space="0"/>
              <w:right w:val="inset" w:color="auto" w:sz="8" w:space="0"/>
            </w:tcBorders>
            <w:noWrap w:val="0"/>
            <w:vAlign w:val="center"/>
          </w:tcPr>
          <w:p w14:paraId="4F12CD1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inset" w:color="auto" w:sz="8" w:space="0"/>
              <w:left w:val="inset" w:color="auto" w:sz="8" w:space="0"/>
              <w:bottom w:val="inset" w:color="auto" w:sz="8" w:space="0"/>
              <w:right w:val="inset" w:color="auto" w:sz="8" w:space="0"/>
            </w:tcBorders>
            <w:noWrap w:val="0"/>
            <w:vAlign w:val="center"/>
          </w:tcPr>
          <w:p w14:paraId="5541B21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inset" w:color="auto" w:sz="8" w:space="0"/>
              <w:left w:val="inset" w:color="auto" w:sz="8" w:space="0"/>
              <w:bottom w:val="inset" w:color="auto" w:sz="8" w:space="0"/>
              <w:right w:val="inset" w:color="auto" w:sz="8" w:space="0"/>
            </w:tcBorders>
            <w:noWrap w:val="0"/>
            <w:vAlign w:val="center"/>
          </w:tcPr>
          <w:p w14:paraId="30216BFD">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inset" w:color="auto" w:sz="8" w:space="0"/>
              <w:left w:val="inset" w:color="auto" w:sz="8" w:space="0"/>
              <w:bottom w:val="inset" w:color="auto" w:sz="8" w:space="0"/>
              <w:right w:val="inset" w:color="auto" w:sz="8" w:space="0"/>
            </w:tcBorders>
            <w:noWrap w:val="0"/>
            <w:vAlign w:val="center"/>
          </w:tcPr>
          <w:p w14:paraId="7730C272">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0698F409">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5802E93">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451" w:type="pct"/>
            <w:vMerge w:val="restart"/>
            <w:tcBorders>
              <w:top w:val="inset" w:color="auto" w:sz="8" w:space="0"/>
              <w:left w:val="inset" w:color="auto" w:sz="8" w:space="0"/>
              <w:bottom w:val="inset" w:color="auto" w:sz="8" w:space="0"/>
              <w:right w:val="inset" w:color="auto" w:sz="8" w:space="0"/>
            </w:tcBorders>
            <w:noWrap w:val="0"/>
            <w:vAlign w:val="center"/>
          </w:tcPr>
          <w:p w14:paraId="197A7C50">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（六）其他处理</w:t>
            </w:r>
          </w:p>
        </w:tc>
        <w:tc>
          <w:tcPr>
            <w:tcW w:w="1718" w:type="pct"/>
            <w:tcBorders>
              <w:top w:val="single" w:color="auto" w:sz="8" w:space="0"/>
              <w:left w:val="single" w:color="auto" w:sz="8" w:space="0"/>
              <w:bottom w:val="single" w:color="auto" w:sz="8" w:space="0"/>
              <w:right w:val="single" w:color="auto" w:sz="8" w:space="0"/>
            </w:tcBorders>
            <w:noWrap w:val="0"/>
            <w:vAlign w:val="center"/>
          </w:tcPr>
          <w:p w14:paraId="524B21E4">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1.申请人无正当理由逾期不补正、行政机关不再处理其政府信息公开申请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632935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1295CC0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18F61A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945C0D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EF90926">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BDE278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7752F3ED">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072C4E97">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7D64973">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C3C1422">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66DCC113">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2.申请人逾期未按收费通知要求缴纳费用、行政机关不再处理其政府信息公开申请</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702F77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43A0A2C">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1F3E1D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FABFA5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4420C92">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3F8E94CE">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63ADC29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r>
      <w:tr w14:paraId="60A9840C">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1CC56C5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4CC57BC9">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1718" w:type="pct"/>
            <w:tcBorders>
              <w:top w:val="single" w:color="auto" w:sz="8" w:space="0"/>
              <w:left w:val="single" w:color="auto" w:sz="8" w:space="0"/>
              <w:bottom w:val="single" w:color="auto" w:sz="8" w:space="0"/>
              <w:right w:val="single" w:color="auto" w:sz="8" w:space="0"/>
            </w:tcBorders>
            <w:noWrap w:val="0"/>
            <w:vAlign w:val="center"/>
          </w:tcPr>
          <w:p w14:paraId="3F1B25E5">
            <w:pPr>
              <w:keepNext w:val="0"/>
              <w:keepLines w:val="0"/>
              <w:pageBreakBefore w:val="0"/>
              <w:widowControl/>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3.其他</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70B7CEAD">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8</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C2A511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D7FAF4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216CBE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677227CB">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0D64000F">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36538451">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8</w:t>
            </w:r>
          </w:p>
        </w:tc>
      </w:tr>
      <w:tr w14:paraId="0ED55E3E">
        <w:tblPrEx>
          <w:tblCellMar>
            <w:top w:w="0" w:type="dxa"/>
            <w:left w:w="0" w:type="dxa"/>
            <w:bottom w:w="0" w:type="dxa"/>
            <w:right w:w="0" w:type="dxa"/>
          </w:tblCellMar>
        </w:tblPrEx>
        <w:trPr>
          <w:jc w:val="center"/>
        </w:trPr>
        <w:tc>
          <w:tcPr>
            <w:tcW w:w="0" w:type="auto"/>
            <w:vMerge w:val="continue"/>
            <w:tcBorders>
              <w:top w:val="inset" w:color="auto" w:sz="8" w:space="0"/>
              <w:left w:val="inset" w:color="auto" w:sz="8" w:space="0"/>
              <w:bottom w:val="inset" w:color="auto" w:sz="8" w:space="0"/>
              <w:right w:val="inset" w:color="auto" w:sz="8" w:space="0"/>
            </w:tcBorders>
            <w:noWrap w:val="0"/>
            <w:vAlign w:val="center"/>
          </w:tcPr>
          <w:p w14:paraId="0D72BFF9">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p>
        </w:tc>
        <w:tc>
          <w:tcPr>
            <w:tcW w:w="2170" w:type="pct"/>
            <w:gridSpan w:val="2"/>
            <w:tcBorders>
              <w:top w:val="single" w:color="auto" w:sz="8" w:space="0"/>
              <w:left w:val="single" w:color="auto" w:sz="8" w:space="0"/>
              <w:bottom w:val="single" w:color="auto" w:sz="8" w:space="0"/>
              <w:right w:val="single" w:color="auto" w:sz="8" w:space="0"/>
            </w:tcBorders>
            <w:noWrap w:val="0"/>
            <w:vAlign w:val="center"/>
          </w:tcPr>
          <w:p w14:paraId="21A16BDC">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（七）总计</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D3400E2">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55</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9062DC0">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69500B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2E570B81">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E918BB5">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58A00037">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39958473">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58</w:t>
            </w:r>
          </w:p>
        </w:tc>
      </w:tr>
      <w:tr w14:paraId="1A0EF6EF">
        <w:tblPrEx>
          <w:tblCellMar>
            <w:top w:w="0" w:type="dxa"/>
            <w:left w:w="0" w:type="dxa"/>
            <w:bottom w:w="0" w:type="dxa"/>
            <w:right w:w="0" w:type="dxa"/>
          </w:tblCellMar>
        </w:tblPrEx>
        <w:trPr>
          <w:jc w:val="center"/>
        </w:trPr>
        <w:tc>
          <w:tcPr>
            <w:tcW w:w="2522" w:type="pct"/>
            <w:gridSpan w:val="3"/>
            <w:tcBorders>
              <w:top w:val="single" w:color="auto" w:sz="8" w:space="0"/>
              <w:left w:val="single" w:color="auto" w:sz="8" w:space="0"/>
              <w:bottom w:val="single" w:color="auto" w:sz="8" w:space="0"/>
              <w:right w:val="single" w:color="auto" w:sz="8" w:space="0"/>
            </w:tcBorders>
            <w:noWrap w:val="0"/>
            <w:vAlign w:val="center"/>
          </w:tcPr>
          <w:p w14:paraId="0ACD45F4">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四、结转下年度继续办理</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39F2ABEE">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82C1747">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4935AB14">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5F631368">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2" w:type="pct"/>
            <w:tcBorders>
              <w:top w:val="single" w:color="auto" w:sz="8" w:space="0"/>
              <w:left w:val="single" w:color="auto" w:sz="8" w:space="0"/>
              <w:bottom w:val="single" w:color="auto" w:sz="8" w:space="0"/>
              <w:right w:val="single" w:color="auto" w:sz="8" w:space="0"/>
            </w:tcBorders>
            <w:noWrap w:val="0"/>
            <w:vAlign w:val="center"/>
          </w:tcPr>
          <w:p w14:paraId="0BB17A0A">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9" w:type="pct"/>
            <w:tcBorders>
              <w:top w:val="single" w:color="auto" w:sz="8" w:space="0"/>
              <w:left w:val="single" w:color="auto" w:sz="8" w:space="0"/>
              <w:bottom w:val="single" w:color="auto" w:sz="8" w:space="0"/>
              <w:right w:val="single" w:color="auto" w:sz="8" w:space="0"/>
            </w:tcBorders>
            <w:noWrap w:val="0"/>
            <w:vAlign w:val="center"/>
          </w:tcPr>
          <w:p w14:paraId="18FB4D33">
            <w:pPr>
              <w:widowControl/>
              <w:spacing w:line="600" w:lineRule="exact"/>
              <w:jc w:val="center"/>
              <w:rPr>
                <w:rFonts w:hint="eastAsia"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0</w:t>
            </w:r>
          </w:p>
        </w:tc>
        <w:tc>
          <w:tcPr>
            <w:tcW w:w="357" w:type="pct"/>
            <w:tcBorders>
              <w:top w:val="single" w:color="auto" w:sz="8" w:space="0"/>
              <w:left w:val="single" w:color="auto" w:sz="8" w:space="0"/>
              <w:bottom w:val="single" w:color="auto" w:sz="8" w:space="0"/>
              <w:right w:val="single" w:color="auto" w:sz="8" w:space="0"/>
            </w:tcBorders>
            <w:noWrap w:val="0"/>
            <w:vAlign w:val="center"/>
          </w:tcPr>
          <w:p w14:paraId="28C7F464">
            <w:pPr>
              <w:widowControl/>
              <w:spacing w:line="600" w:lineRule="exact"/>
              <w:jc w:val="center"/>
              <w:rPr>
                <w:rFonts w:hint="default" w:ascii="Times New Roman" w:hAnsi="Times New Roman" w:eastAsia="方正仿宋_GBK" w:cs="Times New Roman"/>
                <w:kern w:val="0"/>
                <w:sz w:val="24"/>
                <w:szCs w:val="24"/>
                <w:lang w:val="en-US" w:eastAsia="zh-CN"/>
              </w:rPr>
            </w:pPr>
            <w:r>
              <w:rPr>
                <w:rFonts w:hint="eastAsia" w:ascii="Times New Roman" w:hAnsi="Times New Roman" w:eastAsia="方正仿宋_GBK" w:cs="Times New Roman"/>
                <w:kern w:val="0"/>
                <w:sz w:val="24"/>
                <w:szCs w:val="24"/>
                <w:lang w:val="en-US" w:eastAsia="zh-CN"/>
              </w:rPr>
              <w:t>3</w:t>
            </w:r>
          </w:p>
        </w:tc>
      </w:tr>
    </w:tbl>
    <w:p w14:paraId="2C16AC3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方正黑体_GBK" w:hAnsi="方正黑体_GBK" w:eastAsia="方正黑体_GBK" w:cs="方正黑体_GBK"/>
          <w:i w:val="0"/>
          <w:iCs w:val="0"/>
          <w:caps w:val="0"/>
          <w:color w:val="000000"/>
          <w:spacing w:val="0"/>
          <w:sz w:val="32"/>
          <w:szCs w:val="32"/>
          <w:shd w:val="clear" w:color="auto" w:fill="FFFFFF"/>
        </w:rPr>
      </w:pPr>
      <w:r>
        <w:rPr>
          <w:rFonts w:ascii="方正黑体_GBK" w:hAnsi="方正黑体_GBK" w:eastAsia="方正黑体_GBK" w:cs="方正黑体_GBK"/>
          <w:i w:val="0"/>
          <w:iCs w:val="0"/>
          <w:caps w:val="0"/>
          <w:color w:val="000000"/>
          <w:spacing w:val="0"/>
          <w:sz w:val="32"/>
          <w:szCs w:val="32"/>
          <w:shd w:val="clear" w:color="auto" w:fill="FFFFFF"/>
        </w:rPr>
        <w:t>四、政府信息公开行政复议、行政诉讼情况</w:t>
      </w:r>
    </w:p>
    <w:tbl>
      <w:tblPr>
        <w:tblStyle w:val="2"/>
        <w:tblW w:w="5012" w:type="pct"/>
        <w:jc w:val="center"/>
        <w:tblLayout w:type="autofit"/>
        <w:tblCellMar>
          <w:top w:w="0" w:type="dxa"/>
          <w:left w:w="0" w:type="dxa"/>
          <w:bottom w:w="0" w:type="dxa"/>
          <w:right w:w="0" w:type="dxa"/>
        </w:tblCellMar>
      </w:tblPr>
      <w:tblGrid>
        <w:gridCol w:w="504"/>
        <w:gridCol w:w="504"/>
        <w:gridCol w:w="504"/>
        <w:gridCol w:w="504"/>
        <w:gridCol w:w="761"/>
        <w:gridCol w:w="506"/>
        <w:gridCol w:w="506"/>
        <w:gridCol w:w="506"/>
        <w:gridCol w:w="506"/>
        <w:gridCol w:w="760"/>
        <w:gridCol w:w="506"/>
        <w:gridCol w:w="506"/>
        <w:gridCol w:w="506"/>
        <w:gridCol w:w="506"/>
        <w:gridCol w:w="761"/>
      </w:tblGrid>
      <w:tr w14:paraId="39C9861D">
        <w:tblPrEx>
          <w:tblCellMar>
            <w:top w:w="0" w:type="dxa"/>
            <w:left w:w="0" w:type="dxa"/>
            <w:bottom w:w="0" w:type="dxa"/>
            <w:right w:w="0" w:type="dxa"/>
          </w:tblCellMar>
        </w:tblPrEx>
        <w:trPr>
          <w:jc w:val="center"/>
        </w:trPr>
        <w:tc>
          <w:tcPr>
            <w:tcW w:w="1664" w:type="pct"/>
            <w:gridSpan w:val="5"/>
            <w:tcBorders>
              <w:top w:val="single" w:color="auto" w:sz="8" w:space="0"/>
              <w:left w:val="single" w:color="auto" w:sz="8" w:space="0"/>
              <w:bottom w:val="single" w:color="auto" w:sz="8" w:space="0"/>
              <w:right w:val="single" w:color="auto" w:sz="8" w:space="0"/>
            </w:tcBorders>
            <w:noWrap w:val="0"/>
            <w:vAlign w:val="center"/>
          </w:tcPr>
          <w:p w14:paraId="395A59FF">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行政复议</w:t>
            </w:r>
          </w:p>
        </w:tc>
        <w:tc>
          <w:tcPr>
            <w:tcW w:w="3335" w:type="pct"/>
            <w:gridSpan w:val="10"/>
            <w:tcBorders>
              <w:top w:val="single" w:color="auto" w:sz="8" w:space="0"/>
              <w:left w:val="single" w:color="auto" w:sz="8" w:space="0"/>
              <w:bottom w:val="single" w:color="auto" w:sz="8" w:space="0"/>
              <w:right w:val="single" w:color="auto" w:sz="8" w:space="0"/>
            </w:tcBorders>
            <w:noWrap w:val="0"/>
            <w:vAlign w:val="center"/>
          </w:tcPr>
          <w:p w14:paraId="1662FAEB">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行政诉讼</w:t>
            </w:r>
          </w:p>
        </w:tc>
      </w:tr>
      <w:tr w14:paraId="187C977B">
        <w:tblPrEx>
          <w:tblCellMar>
            <w:top w:w="0" w:type="dxa"/>
            <w:left w:w="0" w:type="dxa"/>
            <w:bottom w:w="0" w:type="dxa"/>
            <w:right w:w="0" w:type="dxa"/>
          </w:tblCellMar>
        </w:tblPrEx>
        <w:trPr>
          <w:jc w:val="center"/>
        </w:trPr>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14:paraId="038E157E">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结果维持</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14:paraId="56A1E10B">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14:paraId="6B9E9005">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结果</w:t>
            </w:r>
          </w:p>
        </w:tc>
        <w:tc>
          <w:tcPr>
            <w:tcW w:w="302" w:type="pct"/>
            <w:vMerge w:val="restart"/>
            <w:tcBorders>
              <w:top w:val="single" w:color="auto" w:sz="8" w:space="0"/>
              <w:left w:val="single" w:color="auto" w:sz="8" w:space="0"/>
              <w:bottom w:val="single" w:color="auto" w:sz="8" w:space="0"/>
              <w:right w:val="single" w:color="auto" w:sz="8" w:space="0"/>
            </w:tcBorders>
            <w:noWrap w:val="0"/>
            <w:vAlign w:val="center"/>
          </w:tcPr>
          <w:p w14:paraId="3E443419">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3" w:type="pct"/>
            <w:vMerge w:val="restart"/>
            <w:tcBorders>
              <w:top w:val="single" w:color="auto" w:sz="8" w:space="0"/>
              <w:left w:val="single" w:color="auto" w:sz="8" w:space="0"/>
              <w:bottom w:val="single" w:color="auto" w:sz="8" w:space="0"/>
              <w:right w:val="single" w:color="auto" w:sz="8" w:space="0"/>
            </w:tcBorders>
            <w:noWrap w:val="0"/>
            <w:vAlign w:val="center"/>
          </w:tcPr>
          <w:p w14:paraId="6D10E8D5">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总计</w:t>
            </w:r>
          </w:p>
        </w:tc>
        <w:tc>
          <w:tcPr>
            <w:tcW w:w="1667" w:type="pct"/>
            <w:gridSpan w:val="5"/>
            <w:tcBorders>
              <w:top w:val="single" w:color="auto" w:sz="8" w:space="0"/>
              <w:left w:val="single" w:color="auto" w:sz="8" w:space="0"/>
              <w:bottom w:val="single" w:color="auto" w:sz="8" w:space="0"/>
              <w:right w:val="single" w:color="auto" w:sz="8" w:space="0"/>
            </w:tcBorders>
            <w:noWrap w:val="0"/>
            <w:vAlign w:val="center"/>
          </w:tcPr>
          <w:p w14:paraId="4A6BA825">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未经复议直接起诉</w:t>
            </w:r>
          </w:p>
        </w:tc>
        <w:tc>
          <w:tcPr>
            <w:tcW w:w="1667" w:type="pct"/>
            <w:gridSpan w:val="5"/>
            <w:tcBorders>
              <w:top w:val="single" w:color="auto" w:sz="8" w:space="0"/>
              <w:left w:val="single" w:color="auto" w:sz="8" w:space="0"/>
              <w:bottom w:val="single" w:color="auto" w:sz="8" w:space="0"/>
              <w:right w:val="single" w:color="auto" w:sz="8" w:space="0"/>
            </w:tcBorders>
            <w:noWrap w:val="0"/>
            <w:vAlign w:val="center"/>
          </w:tcPr>
          <w:p w14:paraId="5A7127E4">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复议后起诉</w:t>
            </w:r>
          </w:p>
        </w:tc>
      </w:tr>
      <w:tr w14:paraId="6DE26C3A">
        <w:tblPrEx>
          <w:tblCellMar>
            <w:top w:w="0" w:type="dxa"/>
            <w:left w:w="0" w:type="dxa"/>
            <w:bottom w:w="0" w:type="dxa"/>
            <w:right w:w="0" w:type="dxa"/>
          </w:tblCellMar>
        </w:tblPrEx>
        <w:trPr>
          <w:jc w:val="center"/>
        </w:trPr>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09B9FF18">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7E38B600">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5E4DC25A">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556C5898">
            <w:pPr>
              <w:widowControl/>
              <w:spacing w:line="600" w:lineRule="exact"/>
              <w:jc w:val="left"/>
              <w:rPr>
                <w:rFonts w:hint="default" w:ascii="Times New Roman" w:hAnsi="Times New Roman" w:eastAsia="方正仿宋_GBK" w:cs="Times New Roman"/>
                <w:kern w:val="0"/>
                <w:sz w:val="24"/>
                <w:szCs w:val="24"/>
              </w:rPr>
            </w:pPr>
          </w:p>
        </w:tc>
        <w:tc>
          <w:tcPr>
            <w:tcW w:w="0" w:type="auto"/>
            <w:vMerge w:val="continue"/>
            <w:tcBorders>
              <w:top w:val="single" w:color="auto" w:sz="8" w:space="0"/>
              <w:left w:val="single" w:color="auto" w:sz="8" w:space="0"/>
              <w:bottom w:val="single" w:color="auto" w:sz="8" w:space="0"/>
              <w:right w:val="single" w:color="auto" w:sz="8" w:space="0"/>
            </w:tcBorders>
            <w:noWrap w:val="0"/>
            <w:vAlign w:val="center"/>
          </w:tcPr>
          <w:p w14:paraId="65581DAC">
            <w:pPr>
              <w:widowControl/>
              <w:spacing w:line="600" w:lineRule="exact"/>
              <w:jc w:val="left"/>
              <w:rPr>
                <w:rFonts w:hint="default" w:ascii="Times New Roman" w:hAnsi="Times New Roman" w:eastAsia="方正仿宋_GBK" w:cs="Times New Roman"/>
                <w:kern w:val="0"/>
                <w:sz w:val="24"/>
                <w:szCs w:val="24"/>
              </w:rPr>
            </w:pPr>
          </w:p>
        </w:tc>
        <w:tc>
          <w:tcPr>
            <w:tcW w:w="303" w:type="pct"/>
            <w:tcBorders>
              <w:top w:val="single" w:color="auto" w:sz="8" w:space="0"/>
              <w:left w:val="single" w:color="auto" w:sz="8" w:space="0"/>
              <w:bottom w:val="single" w:color="auto" w:sz="8" w:space="0"/>
              <w:right w:val="single" w:color="auto" w:sz="8" w:space="0"/>
            </w:tcBorders>
            <w:noWrap w:val="0"/>
            <w:vAlign w:val="center"/>
          </w:tcPr>
          <w:p w14:paraId="2D3C926B">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维持</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4074314F">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3D3A8300">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其他</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结果</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4D7C37CA">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4" w:type="pct"/>
            <w:tcBorders>
              <w:top w:val="single" w:color="auto" w:sz="8" w:space="0"/>
              <w:left w:val="single" w:color="auto" w:sz="8" w:space="0"/>
              <w:bottom w:val="single" w:color="auto" w:sz="8" w:space="0"/>
              <w:right w:val="single" w:color="auto" w:sz="8" w:space="0"/>
            </w:tcBorders>
            <w:noWrap w:val="0"/>
            <w:vAlign w:val="center"/>
          </w:tcPr>
          <w:p w14:paraId="5B14860D">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总计</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63062A71">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维持</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075E63C0">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结果</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纠正</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2EE39D60">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其他</w:t>
            </w:r>
            <w:r>
              <w:rPr>
                <w:rFonts w:hint="default" w:ascii="Times New Roman" w:hAnsi="Times New Roman" w:eastAsia="方正仿宋_GBK" w:cs="Times New Roman"/>
                <w:color w:val="000000"/>
                <w:kern w:val="0"/>
                <w:sz w:val="20"/>
                <w:szCs w:val="20"/>
              </w:rPr>
              <w:br w:type="textWrapping"/>
            </w:r>
            <w:r>
              <w:rPr>
                <w:rFonts w:hint="default" w:ascii="Times New Roman" w:hAnsi="Times New Roman" w:eastAsia="方正仿宋_GBK" w:cs="Times New Roman"/>
                <w:color w:val="000000"/>
                <w:kern w:val="0"/>
                <w:sz w:val="20"/>
                <w:szCs w:val="20"/>
              </w:rPr>
              <w:t>结果</w:t>
            </w:r>
          </w:p>
        </w:tc>
        <w:tc>
          <w:tcPr>
            <w:tcW w:w="303" w:type="pct"/>
            <w:tcBorders>
              <w:top w:val="single" w:color="auto" w:sz="8" w:space="0"/>
              <w:left w:val="single" w:color="auto" w:sz="8" w:space="0"/>
              <w:bottom w:val="single" w:color="auto" w:sz="8" w:space="0"/>
              <w:right w:val="single" w:color="auto" w:sz="8" w:space="0"/>
            </w:tcBorders>
            <w:noWrap w:val="0"/>
            <w:vAlign w:val="center"/>
          </w:tcPr>
          <w:p w14:paraId="4270FC9B">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kern w:val="0"/>
                <w:sz w:val="20"/>
                <w:szCs w:val="20"/>
              </w:rPr>
              <w:t>尚未</w:t>
            </w:r>
            <w:r>
              <w:rPr>
                <w:rFonts w:hint="default" w:ascii="Times New Roman" w:hAnsi="Times New Roman" w:eastAsia="方正仿宋_GBK" w:cs="Times New Roman"/>
                <w:kern w:val="0"/>
                <w:sz w:val="20"/>
                <w:szCs w:val="20"/>
              </w:rPr>
              <w:br w:type="textWrapping"/>
            </w:r>
            <w:r>
              <w:rPr>
                <w:rFonts w:hint="default" w:ascii="Times New Roman" w:hAnsi="Times New Roman" w:eastAsia="方正仿宋_GBK" w:cs="Times New Roman"/>
                <w:kern w:val="0"/>
                <w:sz w:val="20"/>
                <w:szCs w:val="20"/>
              </w:rPr>
              <w:t>审结</w:t>
            </w:r>
          </w:p>
        </w:tc>
        <w:tc>
          <w:tcPr>
            <w:tcW w:w="454" w:type="pct"/>
            <w:tcBorders>
              <w:top w:val="single" w:color="auto" w:sz="8" w:space="0"/>
              <w:left w:val="single" w:color="auto" w:sz="8" w:space="0"/>
              <w:bottom w:val="single" w:color="auto" w:sz="8" w:space="0"/>
              <w:right w:val="single" w:color="auto" w:sz="8" w:space="0"/>
            </w:tcBorders>
            <w:noWrap w:val="0"/>
            <w:vAlign w:val="center"/>
          </w:tcPr>
          <w:p w14:paraId="030F30C6">
            <w:pPr>
              <w:widowControl/>
              <w:spacing w:line="600" w:lineRule="exact"/>
              <w:jc w:val="center"/>
              <w:rPr>
                <w:rFonts w:hint="default" w:ascii="Times New Roman" w:hAnsi="Times New Roman" w:eastAsia="方正仿宋_GBK" w:cs="Times New Roman"/>
                <w:kern w:val="0"/>
                <w:sz w:val="24"/>
                <w:szCs w:val="24"/>
              </w:rPr>
            </w:pPr>
            <w:r>
              <w:rPr>
                <w:rFonts w:hint="default" w:ascii="Times New Roman" w:hAnsi="Times New Roman" w:eastAsia="方正仿宋_GBK" w:cs="Times New Roman"/>
                <w:color w:val="000000"/>
                <w:kern w:val="0"/>
                <w:sz w:val="20"/>
                <w:szCs w:val="20"/>
              </w:rPr>
              <w:t>总计</w:t>
            </w:r>
          </w:p>
        </w:tc>
      </w:tr>
      <w:tr w14:paraId="6C2195DF">
        <w:tblPrEx>
          <w:tblCellMar>
            <w:top w:w="0" w:type="dxa"/>
            <w:left w:w="0" w:type="dxa"/>
            <w:bottom w:w="0" w:type="dxa"/>
            <w:right w:w="0" w:type="dxa"/>
          </w:tblCellMar>
        </w:tblPrEx>
        <w:trPr>
          <w:trHeight w:val="648" w:hRule="atLeast"/>
          <w:jc w:val="center"/>
        </w:trPr>
        <w:tc>
          <w:tcPr>
            <w:tcW w:w="302"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7924C66">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7</w:t>
            </w:r>
          </w:p>
        </w:tc>
        <w:tc>
          <w:tcPr>
            <w:tcW w:w="302"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9C52941">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1</w:t>
            </w:r>
          </w:p>
        </w:tc>
        <w:tc>
          <w:tcPr>
            <w:tcW w:w="302"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7F90EDE">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2"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C5A1E94">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45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19170E2">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8</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BD3F519">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E53615E">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66AFF43">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DDEF79A">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45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DAD823D">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EA3FAE1">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77520B7">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E755DD1">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30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03CB816">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c>
          <w:tcPr>
            <w:tcW w:w="454"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DA71A96">
            <w:pPr>
              <w:widowControl/>
              <w:spacing w:line="600" w:lineRule="exact"/>
              <w:jc w:val="center"/>
              <w:rPr>
                <w:rFonts w:hint="eastAsia" w:ascii="Times New Roman" w:hAnsi="Times New Roman" w:eastAsia="方正仿宋_GBK" w:cs="Times New Roman"/>
                <w:kern w:val="0"/>
                <w:sz w:val="24"/>
                <w:szCs w:val="24"/>
                <w:lang w:val="en-US" w:eastAsia="zh-CN" w:bidi="ar-SA"/>
              </w:rPr>
            </w:pPr>
            <w:r>
              <w:rPr>
                <w:rFonts w:hint="eastAsia" w:ascii="Times New Roman" w:hAnsi="Times New Roman" w:eastAsia="方正仿宋_GBK" w:cs="Times New Roman"/>
                <w:kern w:val="0"/>
                <w:sz w:val="24"/>
                <w:szCs w:val="24"/>
                <w:lang w:val="en-US" w:eastAsia="zh-CN"/>
              </w:rPr>
              <w:t>0</w:t>
            </w:r>
          </w:p>
        </w:tc>
      </w:tr>
    </w:tbl>
    <w:p w14:paraId="5981F2F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72" w:firstLineChars="200"/>
        <w:textAlignment w:val="auto"/>
        <w:rPr>
          <w:rFonts w:ascii="方正黑体_GBK" w:hAnsi="方正黑体_GBK" w:eastAsia="方正黑体_GBK" w:cs="方正黑体_GBK"/>
          <w:i w:val="0"/>
          <w:iCs w:val="0"/>
          <w:caps w:val="0"/>
          <w:color w:val="333333"/>
          <w:spacing w:val="8"/>
          <w:sz w:val="32"/>
          <w:szCs w:val="32"/>
          <w:shd w:val="clear" w:color="auto" w:fill="FFFFFF"/>
        </w:rPr>
      </w:pPr>
      <w:r>
        <w:rPr>
          <w:rFonts w:ascii="方正黑体_GBK" w:hAnsi="方正黑体_GBK" w:eastAsia="方正黑体_GBK" w:cs="方正黑体_GBK"/>
          <w:i w:val="0"/>
          <w:iCs w:val="0"/>
          <w:caps w:val="0"/>
          <w:color w:val="333333"/>
          <w:spacing w:val="8"/>
          <w:sz w:val="32"/>
          <w:szCs w:val="32"/>
          <w:shd w:val="clear" w:color="auto" w:fill="FFFFFF"/>
        </w:rPr>
        <w:t>五、存在的主要问题及改进情况</w:t>
      </w:r>
    </w:p>
    <w:p w14:paraId="24D4312A">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eastAsia" w:ascii="Times New Roman" w:hAnsi="Times New Roman" w:eastAsia="方正仿宋_GBK" w:cs="Times New Roman"/>
          <w:color w:val="000000"/>
          <w:kern w:val="0"/>
          <w:sz w:val="32"/>
          <w:szCs w:val="32"/>
          <w:lang w:val="en-US" w:eastAsia="zh-CN"/>
        </w:rPr>
      </w:pPr>
      <w:r>
        <w:rPr>
          <w:rFonts w:hint="default" w:ascii="Times New Roman" w:hAnsi="Times New Roman" w:eastAsia="方正仿宋_GBK" w:cs="Times New Roman"/>
          <w:color w:val="000000"/>
          <w:kern w:val="0"/>
          <w:sz w:val="32"/>
          <w:szCs w:val="32"/>
          <w:lang w:val="en-US" w:eastAsia="zh-CN"/>
        </w:rPr>
        <w:t>202</w:t>
      </w:r>
      <w:r>
        <w:rPr>
          <w:rFonts w:hint="eastAsia" w:ascii="Times New Roman" w:hAnsi="Times New Roman" w:eastAsia="方正仿宋_GBK" w:cs="Times New Roman"/>
          <w:color w:val="000000"/>
          <w:kern w:val="0"/>
          <w:sz w:val="32"/>
          <w:szCs w:val="32"/>
          <w:lang w:val="en-US" w:eastAsia="zh-CN"/>
        </w:rPr>
        <w:t>4年政务公开工作虽然取得了一定成效，但还存在着政务公开平台影响力传播力不足、信息发布质量有待进一步提高等问题。</w:t>
      </w:r>
      <w:r>
        <w:rPr>
          <w:rFonts w:hint="default" w:ascii="Times New Roman" w:hAnsi="Times New Roman" w:eastAsia="方正仿宋_GBK" w:cs="Times New Roman"/>
          <w:color w:val="000000"/>
          <w:kern w:val="0"/>
          <w:sz w:val="32"/>
          <w:szCs w:val="32"/>
          <w:lang w:val="en-US" w:eastAsia="zh-CN"/>
        </w:rPr>
        <w:t>202</w:t>
      </w:r>
      <w:r>
        <w:rPr>
          <w:rFonts w:hint="eastAsia" w:ascii="Times New Roman" w:hAnsi="Times New Roman" w:eastAsia="方正仿宋_GBK" w:cs="Times New Roman"/>
          <w:color w:val="000000"/>
          <w:kern w:val="0"/>
          <w:sz w:val="32"/>
          <w:szCs w:val="32"/>
          <w:lang w:val="en-US" w:eastAsia="zh-CN"/>
        </w:rPr>
        <w:t>5年将进一步通过开展常态化宣传、政务公开平台优化、持续开展公开效果评估等举措进一步提升政务公开传播范围和公开质量。</w:t>
      </w:r>
    </w:p>
    <w:p w14:paraId="479B0B0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72" w:firstLineChars="200"/>
        <w:textAlignment w:val="auto"/>
        <w:rPr>
          <w:rFonts w:ascii="方正黑体_GBK" w:hAnsi="方正黑体_GBK" w:eastAsia="方正黑体_GBK" w:cs="方正黑体_GBK"/>
          <w:i w:val="0"/>
          <w:iCs w:val="0"/>
          <w:caps w:val="0"/>
          <w:color w:val="333333"/>
          <w:spacing w:val="8"/>
          <w:sz w:val="32"/>
          <w:szCs w:val="32"/>
          <w:shd w:val="clear" w:color="auto" w:fill="FFFFFF"/>
        </w:rPr>
      </w:pPr>
      <w:r>
        <w:rPr>
          <w:rFonts w:ascii="方正黑体_GBK" w:hAnsi="方正黑体_GBK" w:eastAsia="方正黑体_GBK" w:cs="方正黑体_GBK"/>
          <w:i w:val="0"/>
          <w:iCs w:val="0"/>
          <w:caps w:val="0"/>
          <w:color w:val="333333"/>
          <w:spacing w:val="8"/>
          <w:sz w:val="32"/>
          <w:szCs w:val="32"/>
          <w:shd w:val="clear" w:color="auto" w:fill="FFFFFF"/>
        </w:rPr>
        <w:t>六、其他需要报告的事项</w:t>
      </w:r>
    </w:p>
    <w:p w14:paraId="1EB5731D">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firstLineChars="200"/>
        <w:textAlignment w:val="auto"/>
        <w:rPr>
          <w:rFonts w:hint="default" w:ascii="Times New Roman" w:hAnsi="Times New Roman" w:eastAsia="方正仿宋_GBK" w:cs="Times New Roman"/>
          <w:color w:val="000000"/>
          <w:kern w:val="0"/>
          <w:sz w:val="32"/>
          <w:szCs w:val="32"/>
          <w:lang w:val="en-US" w:eastAsia="zh-CN"/>
        </w:rPr>
      </w:pPr>
      <w:r>
        <w:rPr>
          <w:rFonts w:hint="default" w:ascii="Times New Roman" w:hAnsi="Times New Roman" w:eastAsia="方正仿宋_GBK" w:cs="Times New Roman"/>
          <w:color w:val="000000"/>
          <w:kern w:val="0"/>
          <w:sz w:val="32"/>
          <w:szCs w:val="32"/>
          <w:lang w:val="en-US" w:eastAsia="zh-CN"/>
        </w:rPr>
        <w:t>按照《国务院办公厅关于印发〈政府信息公开信息处理费管理办法〉的通知》（国办函〔2020</w:t>
      </w:r>
      <w:r>
        <w:rPr>
          <w:rFonts w:hint="eastAsia" w:ascii="Times New Roman" w:hAnsi="Times New Roman" w:eastAsia="方正仿宋_GBK" w:cs="Times New Roman"/>
          <w:color w:val="000000"/>
          <w:kern w:val="0"/>
          <w:sz w:val="32"/>
          <w:szCs w:val="32"/>
          <w:lang w:val="en-US" w:eastAsia="zh-CN"/>
        </w:rPr>
        <w:t>〕</w:t>
      </w:r>
      <w:r>
        <w:rPr>
          <w:rFonts w:hint="default" w:ascii="Times New Roman" w:hAnsi="Times New Roman" w:eastAsia="方正仿宋_GBK" w:cs="Times New Roman"/>
          <w:color w:val="000000"/>
          <w:kern w:val="0"/>
          <w:sz w:val="32"/>
          <w:szCs w:val="32"/>
          <w:lang w:val="en-US" w:eastAsia="zh-CN"/>
        </w:rPr>
        <w:t>109</w:t>
      </w:r>
      <w:r>
        <w:rPr>
          <w:rFonts w:hint="eastAsia" w:ascii="Times New Roman" w:hAnsi="Times New Roman" w:eastAsia="方正仿宋_GBK" w:cs="Times New Roman"/>
          <w:color w:val="000000"/>
          <w:kern w:val="0"/>
          <w:sz w:val="32"/>
          <w:szCs w:val="32"/>
          <w:lang w:val="en-US" w:eastAsia="zh-CN"/>
        </w:rPr>
        <w:t>号）规定的按件、按量收费标准，本年度没有产生信息公开处理费。严格落实信息公开保密审查制度，未因落实不到位造成失泄密问题。</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3000509000000000000"/>
    <w:charset w:val="86"/>
    <w:family w:val="auto"/>
    <w:pitch w:val="default"/>
    <w:sig w:usb0="00000001" w:usb1="080E0000" w:usb2="00000000" w:usb3="00000000" w:csb0="00040000" w:csb1="00000000"/>
    <w:embedRegular r:id="rId1" w:fontKey="{82C0D017-ACB6-4661-8E52-BE9AD69020AA}"/>
  </w:font>
  <w:font w:name="方正仿宋_GB18030">
    <w:panose1 w:val="02000000000000000000"/>
    <w:charset w:val="86"/>
    <w:family w:val="auto"/>
    <w:pitch w:val="default"/>
    <w:sig w:usb0="00000001" w:usb1="08000000" w:usb2="00000000" w:usb3="00000000" w:csb0="00040000" w:csb1="00000000"/>
    <w:embedRegular r:id="rId2" w:fontKey="{9FF0FF8A-0D7B-48F0-A30C-0989726593D3}"/>
  </w:font>
  <w:font w:name="方正仿宋_GBK">
    <w:panose1 w:val="03000509000000000000"/>
    <w:charset w:val="86"/>
    <w:family w:val="auto"/>
    <w:pitch w:val="default"/>
    <w:sig w:usb0="00000001" w:usb1="080E0000" w:usb2="00000000" w:usb3="00000000" w:csb0="00040000" w:csb1="00000000"/>
    <w:embedRegular r:id="rId3" w:fontKey="{DD5F89D3-260D-4826-8377-980455C69E2E}"/>
  </w:font>
  <w:font w:name="方正黑体_GBK">
    <w:panose1 w:val="03000509000000000000"/>
    <w:charset w:val="86"/>
    <w:family w:val="auto"/>
    <w:pitch w:val="default"/>
    <w:sig w:usb0="00000001" w:usb1="080E0000" w:usb2="00000000" w:usb3="00000000" w:csb0="00040000" w:csb1="00000000"/>
    <w:embedRegular r:id="rId4" w:fontKey="{B67D6F8C-D8D2-4E4F-A0BE-C6742C0BFEAF}"/>
  </w:font>
  <w:font w:name="方正楷体_GBK">
    <w:panose1 w:val="03000509000000000000"/>
    <w:charset w:val="86"/>
    <w:family w:val="auto"/>
    <w:pitch w:val="default"/>
    <w:sig w:usb0="00000001" w:usb1="080E0000" w:usb2="00000000" w:usb3="00000000" w:csb0="00040000" w:csb1="00000000"/>
    <w:embedRegular r:id="rId5" w:fontKey="{B8AAC92C-89CD-4F18-B267-FF4922CC4BD8}"/>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WPSEMBED1">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492353"/>
    <w:rsid w:val="0BC154BE"/>
    <w:rsid w:val="0D703BC7"/>
    <w:rsid w:val="11E13363"/>
    <w:rsid w:val="17641D9A"/>
    <w:rsid w:val="18075FF0"/>
    <w:rsid w:val="1F8E6B0A"/>
    <w:rsid w:val="20770E08"/>
    <w:rsid w:val="27962024"/>
    <w:rsid w:val="296C5733"/>
    <w:rsid w:val="2FF06A8B"/>
    <w:rsid w:val="34070F50"/>
    <w:rsid w:val="3CA408E8"/>
    <w:rsid w:val="3CAC0ED1"/>
    <w:rsid w:val="3F7E650B"/>
    <w:rsid w:val="425A4DD7"/>
    <w:rsid w:val="436B7DDB"/>
    <w:rsid w:val="482C61A9"/>
    <w:rsid w:val="4EC67424"/>
    <w:rsid w:val="54065CB8"/>
    <w:rsid w:val="5D335644"/>
    <w:rsid w:val="5D8A7D14"/>
    <w:rsid w:val="60830691"/>
    <w:rsid w:val="65B65B3B"/>
    <w:rsid w:val="664E4657"/>
    <w:rsid w:val="6A787C76"/>
    <w:rsid w:val="6AB674DA"/>
    <w:rsid w:val="76B46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1.xml"/><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r>
              <a:t>高质量发展领域信息公开统计数据</a:t>
            </a:r>
          </a:p>
        </c:rich>
      </c:tx>
      <c:layout>
        <c:manualLayout>
          <c:xMode val="edge"/>
          <c:yMode val="edge"/>
          <c:x val="0.264187156344019"/>
          <c:y val="0.00925925925925926"/>
        </c:manualLayout>
      </c:layout>
      <c:overlay val="0"/>
      <c:spPr>
        <a:noFill/>
        <a:ln>
          <a:noFill/>
        </a:ln>
        <a:effectLst/>
      </c:spPr>
    </c:title>
    <c:autoTitleDeleted val="0"/>
    <c:plotArea>
      <c:layout/>
      <c:pieChart>
        <c:varyColors val="1"/>
        <c:ser>
          <c:idx val="0"/>
          <c:order val="0"/>
          <c:spPr/>
          <c:explosion val="0"/>
          <c:dPt>
            <c:idx val="0"/>
            <c:bubble3D val="0"/>
            <c:spPr>
              <a:gradFill>
                <a:gsLst>
                  <a:gs pos="100000">
                    <a:schemeClr val="accent1"/>
                  </a:gs>
                  <a:gs pos="0">
                    <a:schemeClr val="accent1">
                      <a:hueOff val="-1670000"/>
                    </a:schemeClr>
                  </a:gs>
                </a:gsLst>
                <a:lin ang="5400000" scaled="0"/>
              </a:gradFill>
              <a:ln>
                <a:gradFill>
                  <a:gsLst>
                    <a:gs pos="100000">
                      <a:schemeClr val="accent1">
                        <a:lumMod val="75000"/>
                      </a:schemeClr>
                    </a:gs>
                    <a:gs pos="0">
                      <a:schemeClr val="accent1">
                        <a:lumMod val="75000"/>
                        <a:hueOff val="-1670000"/>
                      </a:schemeClr>
                    </a:gs>
                  </a:gsLst>
                  <a:lin ang="4620000" scaled="0"/>
                </a:gradFill>
              </a:ln>
              <a:effectLst/>
            </c:spPr>
          </c:dPt>
          <c:dPt>
            <c:idx val="1"/>
            <c:bubble3D val="0"/>
            <c:spPr>
              <a:gradFill>
                <a:gsLst>
                  <a:gs pos="100000">
                    <a:schemeClr val="accent2"/>
                  </a:gs>
                  <a:gs pos="0">
                    <a:schemeClr val="accent2">
                      <a:hueOff val="-1670000"/>
                    </a:schemeClr>
                  </a:gs>
                </a:gsLst>
                <a:lin ang="5400000" scaled="0"/>
              </a:gradFill>
              <a:ln>
                <a:gradFill>
                  <a:gsLst>
                    <a:gs pos="100000">
                      <a:schemeClr val="accent2">
                        <a:lumMod val="75000"/>
                      </a:schemeClr>
                    </a:gs>
                    <a:gs pos="0">
                      <a:schemeClr val="accent2">
                        <a:lumMod val="75000"/>
                        <a:hueOff val="-1670000"/>
                      </a:schemeClr>
                    </a:gs>
                  </a:gsLst>
                  <a:lin ang="4620000" scaled="0"/>
                </a:gradFill>
              </a:ln>
              <a:effectLst/>
            </c:spPr>
          </c:dPt>
          <c:dLbls>
            <c:dLbl>
              <c:idx val="0"/>
              <c:layout>
                <c:manualLayout>
                  <c:x val="0.152505446623094"/>
                  <c:y val="0.222222222222222"/>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lumMod val="75000"/>
                          <a:lumOff val="25000"/>
                        </a:schemeClr>
                      </a:solidFill>
                      <a:latin typeface="+mn-lt"/>
                      <a:ea typeface="+mn-ea"/>
                      <a:cs typeface="+mn-cs"/>
                    </a:defRPr>
                  </a:pPr>
                </a:p>
              </c:txPr>
              <c:dLblPos val="bestFit"/>
              <c:showLegendKey val="0"/>
              <c:showVal val="1"/>
              <c:showCatName val="1"/>
              <c:showSerName val="0"/>
              <c:showPercent val="0"/>
              <c:showBubbleSize val="0"/>
              <c:extLst>
                <c:ext xmlns:c15="http://schemas.microsoft.com/office/drawing/2012/chart" uri="{CE6537A1-D6FC-4f65-9D91-7224C49458BB}">
                  <c15:layout/>
                </c:ext>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lumMod val="75000"/>
                          <a:lumOff val="25000"/>
                        </a:schemeClr>
                      </a:solidFill>
                      <a:latin typeface="+mn-lt"/>
                      <a:ea typeface="+mn-ea"/>
                      <a:cs typeface="+mn-cs"/>
                    </a:defRPr>
                  </a:pPr>
                </a:p>
              </c:txPr>
              <c:dLblPos val="outEnd"/>
              <c:showLegendKey val="0"/>
              <c:showVal val="1"/>
              <c:showCatName val="1"/>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lumMod val="75000"/>
                        <a:lumOff val="25000"/>
                      </a:schemeClr>
                    </a:solidFill>
                    <a:latin typeface="+mn-lt"/>
                    <a:ea typeface="+mn-ea"/>
                    <a:cs typeface="+mn-cs"/>
                  </a:defRPr>
                </a:pPr>
              </a:p>
            </c:txPr>
            <c:dLblPos val="outEnd"/>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strRef>
              <c:f>[工作簿1]Sheet1!$E$53:$E$54</c:f>
              <c:strCache>
                <c:ptCount val="2"/>
                <c:pt idx="0">
                  <c:v>稳经济大盘一揽子政策、扩大有效投资、促进民营经济发展、商务领域、工业和信息化领域政策措施</c:v>
                </c:pt>
                <c:pt idx="1">
                  <c:v>政策文件总数</c:v>
                </c:pt>
              </c:strCache>
            </c:strRef>
          </c:cat>
          <c:val>
            <c:numRef>
              <c:f>[工作簿1]Sheet1!$F$53:$F$54</c:f>
              <c:numCache>
                <c:formatCode>General</c:formatCode>
                <c:ptCount val="2"/>
                <c:pt idx="0">
                  <c:v>9</c:v>
                </c:pt>
                <c:pt idx="1">
                  <c:v>34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7da21d2-8d1d-46f3-b853-a1789b376290}"/>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r>
              <a:t>社会民生领域信息公开统计数据</a:t>
            </a:r>
          </a:p>
        </c:rich>
      </c:tx>
      <c:layout/>
      <c:overlay val="0"/>
      <c:spPr>
        <a:noFill/>
        <a:ln>
          <a:noFill/>
        </a:ln>
        <a:effectLst/>
      </c:spPr>
    </c:title>
    <c:autoTitleDeleted val="0"/>
    <c:plotArea>
      <c:layout/>
      <c:barChart>
        <c:barDir val="bar"/>
        <c:grouping val="clustered"/>
        <c:varyColors val="0"/>
        <c:ser>
          <c:idx val="0"/>
          <c:order val="0"/>
          <c:spPr>
            <a:gradFill>
              <a:gsLst>
                <a:gs pos="100000">
                  <a:schemeClr val="accent1"/>
                </a:gs>
                <a:gs pos="0">
                  <a:schemeClr val="accent1">
                    <a:hueOff val="-1670000"/>
                  </a:schemeClr>
                </a:gs>
              </a:gsLst>
              <a:lin ang="10800000" scaled="0"/>
            </a:gradFill>
            <a:ln>
              <a:gradFill>
                <a:gsLst>
                  <a:gs pos="95000">
                    <a:schemeClr val="accent1">
                      <a:lumMod val="75000"/>
                    </a:schemeClr>
                  </a:gs>
                  <a:gs pos="0">
                    <a:schemeClr val="accent1">
                      <a:lumMod val="75000"/>
                      <a:hueOff val="-1670000"/>
                    </a:schemeClr>
                  </a:gs>
                </a:gsLst>
                <a:lin ang="10800000" scaled="0"/>
              </a:gradFill>
            </a:ln>
            <a:effectLst/>
          </c:spPr>
          <c:invertIfNegative val="0"/>
          <c:dPt>
            <c:idx val="0"/>
            <c:invertIfNegative val="0"/>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dk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35000"/>
                          <a:lumOff val="65000"/>
                        </a:schemeClr>
                      </a:solidFill>
                    </a:ln>
                    <a:effectLst/>
                  </c:spPr>
                </c15:leaderLines>
              </c:ext>
            </c:extLst>
          </c:dLbls>
          <c:cat>
            <c:strRef>
              <c:f>[工作簿1]Sheet1!$C$44:$C$48</c:f>
              <c:strCache>
                <c:ptCount val="5"/>
                <c:pt idx="1">
                  <c:v>教育领域</c:v>
                </c:pt>
                <c:pt idx="2">
                  <c:v>社会福利、社会救助、养老服务领域</c:v>
                </c:pt>
                <c:pt idx="3">
                  <c:v>就业创业、社会保险领域</c:v>
                </c:pt>
              </c:strCache>
            </c:strRef>
          </c:cat>
          <c:val>
            <c:numRef>
              <c:f>[工作簿1]Sheet1!$D$44:$D$48</c:f>
              <c:numCache>
                <c:formatCode>General</c:formatCode>
                <c:ptCount val="5"/>
                <c:pt idx="1">
                  <c:v>349</c:v>
                </c:pt>
                <c:pt idx="2">
                  <c:v>178</c:v>
                </c:pt>
                <c:pt idx="3">
                  <c:v>348</c:v>
                </c:pt>
              </c:numCache>
            </c:numRef>
          </c:val>
        </c:ser>
        <c:dLbls>
          <c:showLegendKey val="0"/>
          <c:showVal val="1"/>
          <c:showCatName val="0"/>
          <c:showSerName val="0"/>
          <c:showPercent val="0"/>
          <c:showBubbleSize val="0"/>
        </c:dLbls>
        <c:gapWidth val="140"/>
        <c:overlap val="-40"/>
        <c:axId val="572288890"/>
        <c:axId val="470260045"/>
      </c:barChart>
      <c:catAx>
        <c:axId val="572288890"/>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crossAx val="470260045"/>
        <c:crosses val="autoZero"/>
        <c:auto val="1"/>
        <c:lblAlgn val="ctr"/>
        <c:lblOffset val="100"/>
        <c:noMultiLvlLbl val="0"/>
      </c:catAx>
      <c:valAx>
        <c:axId val="470260045"/>
        <c:scaling>
          <c:orientation val="minMax"/>
        </c:scaling>
        <c:delete val="1"/>
        <c:axPos val="b"/>
        <c:numFmt formatCode="General"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crossAx val="572288890"/>
        <c:crosses val="autoZero"/>
        <c:crossBetween val="between"/>
      </c:valAx>
      <c:spPr>
        <a:noFill/>
        <a:ln>
          <a:noFill/>
        </a:ln>
        <a:effectLst/>
      </c:spPr>
    </c:plotArea>
    <c:plotVisOnly val="1"/>
    <c:dispBlanksAs val="gap"/>
    <c:showDLblsOverMax val="0"/>
    <c:extLst>
      <c:ext uri="{0b15fc19-7d7d-44ad-8c2d-2c3a37ce22c3}">
        <chartProps xmlns="https://web.wps.cn/et/2018/main" chartId="{3221a340-f431-43f4-a6c2-1898a28f360c}"/>
      </c:ext>
    </c:extLst>
  </c:chart>
  <c:spPr>
    <a:solidFill>
      <a:schemeClr val="lt1">
        <a:lumMod val="96000"/>
      </a:schemeClr>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defRPr lang="zh-CN" sz="1400" b="1" i="0" u="none" strike="noStrike" kern="1200" baseline="0">
                <a:solidFill>
                  <a:sysClr val="windowText" lastClr="000000">
                    <a:lumMod val="75000"/>
                    <a:lumOff val="25000"/>
                  </a:sysClr>
                </a:solidFill>
                <a:latin typeface="+mn-lt"/>
                <a:ea typeface="+mn-ea"/>
                <a:cs typeface="+mn-cs"/>
              </a:defRPr>
            </a:pPr>
            <a:r>
              <a:t>监管信息公开统计数据</a:t>
            </a:r>
          </a:p>
        </c:rich>
      </c:tx>
      <c:layout/>
      <c:overlay val="0"/>
      <c:spPr>
        <a:noFill/>
        <a:ln>
          <a:noFill/>
        </a:ln>
        <a:effectLst/>
      </c:spPr>
    </c:title>
    <c:autoTitleDeleted val="0"/>
    <c:plotArea>
      <c:layout/>
      <c:barChart>
        <c:barDir val="col"/>
        <c:grouping val="clustered"/>
        <c:varyColors val="0"/>
        <c:ser>
          <c:idx val="0"/>
          <c:order val="0"/>
          <c:spPr>
            <a:gradFill>
              <a:gsLst>
                <a:gs pos="100000">
                  <a:srgbClr val="4874CB"/>
                </a:gs>
                <a:gs pos="0">
                  <a:srgbClr val="4874CB">
                    <a:hueOff val="-1670000"/>
                  </a:srgbClr>
                </a:gs>
              </a:gsLst>
              <a:lin ang="5400000" scaled="0"/>
            </a:gradFill>
            <a:ln>
              <a:gradFill>
                <a:gsLst>
                  <a:gs pos="100000">
                    <a:srgbClr val="4874CB">
                      <a:lumMod val="75000"/>
                    </a:srgbClr>
                  </a:gs>
                  <a:gs pos="0">
                    <a:srgbClr val="4874CB">
                      <a:lumMod val="75000"/>
                      <a:hueOff val="-1670000"/>
                    </a:srgbClr>
                  </a:gs>
                </a:gsLst>
                <a:lin ang="5280000" scaled="0"/>
              </a:gradFill>
            </a:ln>
            <a:effectLst/>
          </c:spPr>
          <c:invertIfNegative val="0"/>
          <c:dPt>
            <c:idx val="1"/>
            <c:invertIfNegative val="0"/>
            <c:bubble3D val="0"/>
          </c:dPt>
          <c:dLbls>
            <c:dLbl>
              <c:idx val="0"/>
              <c:layout/>
              <c:dLblPos val="outEnd"/>
              <c:showLegendKey val="0"/>
              <c:showVal val="1"/>
              <c:showCatName val="0"/>
              <c:showSerName val="0"/>
              <c:showPercent val="0"/>
              <c:showBubbleSize val="0"/>
              <c:separator>
</c:separator>
              <c:extLst>
                <c:ext xmlns:c15="http://schemas.microsoft.com/office/drawing/2012/chart" uri="{CE6537A1-D6FC-4f65-9D91-7224C49458BB}"/>
              </c:extLst>
            </c:dLbl>
            <c:dLbl>
              <c:idx val="1"/>
              <c:layout/>
              <c:dLblPos val="outEnd"/>
              <c:showLegendKey val="0"/>
              <c:showVal val="1"/>
              <c:showCatName val="0"/>
              <c:showSerName val="0"/>
              <c:showPercent val="0"/>
              <c:showBubbleSize val="0"/>
              <c:separator>
</c:separator>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ysClr val="windowText" lastClr="000000">
                          <a:lumMod val="75000"/>
                          <a:lumOff val="25000"/>
                        </a:sysClr>
                      </a:solidFill>
                      <a:latin typeface="+mn-lt"/>
                      <a:ea typeface="+mn-ea"/>
                      <a:cs typeface="+mn-cs"/>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ysClr val="windowText" lastClr="000000">
                          <a:lumMod val="75000"/>
                          <a:lumOff val="25000"/>
                        </a:sysClr>
                      </a:solidFill>
                      <a:latin typeface="+mn-lt"/>
                      <a:ea typeface="+mn-ea"/>
                      <a:cs typeface="+mn-cs"/>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ysClr val="windowText" lastClr="000000">
                        <a:lumMod val="75000"/>
                        <a:lumOff val="25000"/>
                      </a:sys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ysClr val="windowText" lastClr="000000">
                          <a:lumMod val="35000"/>
                          <a:lumOff val="65000"/>
                        </a:sysClr>
                      </a:solidFill>
                    </a:ln>
                    <a:effectLst/>
                  </c:spPr>
                </c15:leaderLines>
              </c:ext>
            </c:extLst>
          </c:dLbls>
          <c:cat>
            <c:strRef>
              <c:f>[工作簿1]Sheet1!$I$37:$I$40</c:f>
              <c:strCache>
                <c:ptCount val="4"/>
                <c:pt idx="0">
                  <c:v>政府财政资金、惠民惠农补贴、国有企业监督管理、金融领域</c:v>
                </c:pt>
                <c:pt idx="1">
                  <c:v>减税降费、税收监管</c:v>
                </c:pt>
                <c:pt idx="2">
                  <c:v>产品质量监管、食品药品安全</c:v>
                </c:pt>
                <c:pt idx="3">
                  <c:v>城市综合执法</c:v>
                </c:pt>
              </c:strCache>
            </c:strRef>
          </c:cat>
          <c:val>
            <c:numRef>
              <c:f>[工作簿1]Sheet1!$J$37:$J$40</c:f>
              <c:numCache>
                <c:formatCode>General</c:formatCode>
                <c:ptCount val="4"/>
                <c:pt idx="0">
                  <c:v>150</c:v>
                </c:pt>
                <c:pt idx="1">
                  <c:v>10</c:v>
                </c:pt>
                <c:pt idx="2">
                  <c:v>194</c:v>
                </c:pt>
                <c:pt idx="3">
                  <c:v>4</c:v>
                </c:pt>
              </c:numCache>
            </c:numRef>
          </c:val>
        </c:ser>
        <c:dLbls>
          <c:showLegendKey val="0"/>
          <c:showVal val="1"/>
          <c:showCatName val="0"/>
          <c:showSerName val="0"/>
          <c:showPercent val="0"/>
          <c:showBubbleSize val="0"/>
        </c:dLbls>
        <c:gapWidth val="500"/>
        <c:overlap val="-50"/>
        <c:axId val="820599111"/>
        <c:axId val="582730454"/>
      </c:barChart>
      <c:catAx>
        <c:axId val="820599111"/>
        <c:scaling>
          <c:orientation val="minMax"/>
        </c:scaling>
        <c:delete val="0"/>
        <c:axPos val="b"/>
        <c:numFmt formatCode="General" sourceLinked="1"/>
        <c:majorTickMark val="out"/>
        <c:minorTickMark val="none"/>
        <c:tickLblPos val="nextTo"/>
        <c:spPr>
          <a:noFill/>
          <a:ln w="9525" cap="flat" cmpd="sng" algn="ctr">
            <a:solidFill>
              <a:sysClr val="windowText" lastClr="000000">
                <a:lumMod val="15000"/>
                <a:lumOff val="85000"/>
              </a:sysClr>
            </a:solidFill>
            <a:round/>
          </a:ln>
          <a:effectLst/>
        </c:spPr>
        <c:txPr>
          <a:bodyPr rot="-6000000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crossAx val="582730454"/>
        <c:crosses val="autoZero"/>
        <c:auto val="1"/>
        <c:lblAlgn val="ctr"/>
        <c:lblOffset val="100"/>
        <c:noMultiLvlLbl val="0"/>
      </c:catAx>
      <c:valAx>
        <c:axId val="582730454"/>
        <c:scaling>
          <c:orientation val="minMax"/>
        </c:scaling>
        <c:delete val="0"/>
        <c:axPos val="l"/>
        <c:majorGridlines>
          <c:spPr>
            <a:ln w="9525" cap="flat" cmpd="sng" algn="ctr">
              <a:solidFill>
                <a:sysClr val="window" lastClr="FFFFFF">
                  <a:lumMod val="90200"/>
                </a:sys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crossAx val="820599111"/>
        <c:crosses val="autoZero"/>
        <c:crossBetween val="between"/>
      </c:valAx>
      <c:dTable>
        <c:showHorzBorder val="1"/>
        <c:showVertBorder val="1"/>
        <c:showOutline val="1"/>
        <c:showKeys val="1"/>
        <c:spPr>
          <a:noFill/>
          <a:ln w="9525" cap="flat" cmpd="sng" algn="ctr">
            <a:solidFill>
              <a:sysClr val="windowText" lastClr="000000">
                <a:lumMod val="15000"/>
                <a:lumOff val="85000"/>
              </a:sysClr>
            </a:solidFill>
            <a:round/>
          </a:ln>
          <a:effectLst/>
        </c:spPr>
        <c:txPr>
          <a:bodyPr rot="0" spcFirstLastPara="0" vertOverflow="ellipsis" vert="horz" wrap="square" anchor="ctr" anchorCtr="1"/>
          <a:lstStyle/>
          <a:p>
            <a:pPr>
              <a:defRPr lang="zh-CN" sz="900" b="0" i="0" u="none" strike="noStrike" kern="1200" baseline="0">
                <a:solidFill>
                  <a:sysClr val="windowText" lastClr="000000">
                    <a:lumMod val="65000"/>
                    <a:lumOff val="35000"/>
                  </a:sys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e46e5474-9557-45b0-a3be-1feec8a6c2a0}"/>
      </c:ext>
    </c:extLst>
  </c:chart>
  <c:spPr>
    <a:solidFill>
      <a:sysClr val="window" lastClr="FFFFFF">
        <a:lumMod val="96000"/>
      </a:sysClr>
    </a:solidFill>
    <a:ln w="9525" cap="flat" cmpd="sng" algn="ctr">
      <a:solidFill>
        <a:sysClr val="windowText" lastClr="000000">
          <a:lumMod val="15000"/>
          <a:lumOff val="85000"/>
        </a:sys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t>公共资源配置信息公开统计数据</a:t>
            </a:r>
          </a:p>
        </c:rich>
      </c:tx>
      <c:layout/>
      <c:overlay val="0"/>
      <c:spPr>
        <a:noFill/>
        <a:ln>
          <a:noFill/>
        </a:ln>
        <a:effectLst/>
      </c:spPr>
    </c:title>
    <c:autoTitleDeleted val="0"/>
    <c:plotArea>
      <c:layout/>
      <c:barChart>
        <c:barDir val="bar"/>
        <c:grouping val="clustered"/>
        <c:varyColors val="0"/>
        <c:ser>
          <c:idx val="0"/>
          <c:order val="0"/>
          <c:spPr>
            <a:gradFill>
              <a:gsLst>
                <a:gs pos="0">
                  <a:schemeClr val="accent1">
                    <a:lumMod val="40000"/>
                    <a:lumOff val="60000"/>
                    <a:alpha val="91000"/>
                  </a:schemeClr>
                </a:gs>
                <a:gs pos="90000">
                  <a:schemeClr val="accent1"/>
                </a:gs>
              </a:gsLst>
              <a:lin ang="10800000" scaled="0"/>
            </a:gradFill>
            <a:ln>
              <a:gradFill>
                <a:gsLst>
                  <a:gs pos="0">
                    <a:schemeClr val="accent1"/>
                  </a:gs>
                  <a:gs pos="100000">
                    <a:schemeClr val="accent1">
                      <a:lumMod val="75000"/>
                    </a:schemeClr>
                  </a:gs>
                </a:gsLst>
                <a:lin ang="10800000" scaled="0"/>
              </a:gradFill>
            </a:ln>
            <a:effectLst>
              <a:outerShdw blurRad="76200" dist="25400" dir="2700000" algn="tl" rotWithShape="0">
                <a:schemeClr val="accent1">
                  <a:lumMod val="50000"/>
                  <a:alpha val="30000"/>
                </a:schemeClr>
              </a:outerShdw>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[工作簿1]Sheet1!$M$27:$M$29</c:f>
              <c:strCache>
                <c:ptCount val="3"/>
                <c:pt idx="0">
                  <c:v>住房保障、土地征收</c:v>
                </c:pt>
                <c:pt idx="1">
                  <c:v>公共资源交易</c:v>
                </c:pt>
                <c:pt idx="2">
                  <c:v>国土空间规划</c:v>
                </c:pt>
              </c:strCache>
            </c:strRef>
          </c:cat>
          <c:val>
            <c:numRef>
              <c:f>[工作簿1]Sheet1!$N$27:$N$29</c:f>
              <c:numCache>
                <c:formatCode>General</c:formatCode>
                <c:ptCount val="3"/>
                <c:pt idx="0">
                  <c:v>336</c:v>
                </c:pt>
                <c:pt idx="1">
                  <c:v>3</c:v>
                </c:pt>
                <c:pt idx="2">
                  <c:v>11</c:v>
                </c:pt>
              </c:numCache>
            </c:numRef>
          </c:val>
        </c:ser>
        <c:dLbls>
          <c:showLegendKey val="0"/>
          <c:showVal val="1"/>
          <c:showCatName val="0"/>
          <c:showSerName val="0"/>
          <c:showPercent val="0"/>
          <c:showBubbleSize val="0"/>
        </c:dLbls>
        <c:gapWidth val="140"/>
        <c:overlap val="-40"/>
        <c:axId val="89285388"/>
        <c:axId val="837443612"/>
      </c:barChart>
      <c:catAx>
        <c:axId val="892853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7443612"/>
        <c:crosses val="autoZero"/>
        <c:auto val="1"/>
        <c:lblAlgn val="ctr"/>
        <c:lblOffset val="100"/>
        <c:noMultiLvlLbl val="0"/>
      </c:catAx>
      <c:valAx>
        <c:axId val="837443612"/>
        <c:scaling>
          <c:orientation val="minMax"/>
        </c:scaling>
        <c:delete val="0"/>
        <c:axPos val="b"/>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285388"/>
        <c:crosses val="autoZero"/>
        <c:crossBetween val="between"/>
      </c:valAx>
      <c:spPr>
        <a:noFill/>
        <a:ln>
          <a:noFill/>
        </a:ln>
        <a:effectLst/>
      </c:spPr>
    </c:plotArea>
    <c:plotVisOnly val="1"/>
    <c:dispBlanksAs val="gap"/>
    <c:showDLblsOverMax val="0"/>
    <c:extLst>
      <c:ext uri="{0b15fc19-7d7d-44ad-8c2d-2c3a37ce22c3}">
        <chartProps xmlns="https://web.wps.cn/et/2018/main" chartId="{58625bd1-92c7-40c4-a3f3-ba87b25918e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8">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5400000" scaled="0"/>
      </a:gradFill>
      <a:ln>
        <a:gradFill>
          <a:gsLst>
            <a:gs pos="100000">
              <a:schemeClr val="phClr">
                <a:lumMod val="75000"/>
              </a:schemeClr>
            </a:gs>
            <a:gs pos="0">
              <a:schemeClr val="phClr">
                <a:lumMod val="75000"/>
                <a:hueOff val="-1670000"/>
              </a:schemeClr>
            </a:gs>
          </a:gsLst>
          <a:lin ang="4620000" scaled="0"/>
        </a:gra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125">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10800000" scaled="0"/>
      </a:gradFill>
      <a:ln>
        <a:gradFill>
          <a:gsLst>
            <a:gs pos="95000">
              <a:schemeClr val="phClr">
                <a:lumMod val="75000"/>
              </a:schemeClr>
            </a:gs>
            <a:gs pos="0">
              <a:schemeClr val="phClr">
                <a:lumMod val="75000"/>
                <a:hueOff val="-1670000"/>
              </a:schemeClr>
            </a:gs>
          </a:gsLst>
          <a:lin ang="10800000" scaled="0"/>
        </a:gra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9">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lumMod val="96000"/>
        </a:sysClr>
      </a:solidFill>
      <a:ln w="9525" cap="flat" cmpd="sng" algn="ctr">
        <a:solidFill>
          <a:sysClr val="windowText" lastClr="000000">
            <a:lumMod val="15000"/>
            <a:lumOff val="85000"/>
          </a:sysClr>
        </a:solidFill>
        <a:round/>
      </a:ln>
    </cs:spPr>
    <cs:defRPr sz="1000" kern="1200"/>
  </cs:chartArea>
  <cs:dataLabel>
    <cs:lnRef idx="0"/>
    <cs:fillRef idx="0"/>
    <cs:effectRef idx="0"/>
    <cs:fontRef idx="minor">
      <a:sysClr val="windowText" lastClr="000000">
        <a:lumMod val="75000"/>
        <a:lumOff val="25000"/>
      </a:sysClr>
    </cs:fontRef>
    <cs:defRPr sz="10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ysClr val="windowText" lastClr="000000"/>
    </cs:fontRef>
    <cs:spPr>
      <a:gradFill>
        <a:gsLst>
          <a:gs pos="100000">
            <a:schemeClr val="phClr"/>
          </a:gs>
          <a:gs pos="0">
            <a:schemeClr val="phClr">
              <a:hueOff val="-1670000"/>
            </a:schemeClr>
          </a:gs>
        </a:gsLst>
        <a:lin ang="5400000" scaled="0"/>
      </a:gradFill>
      <a:ln>
        <a:gradFill>
          <a:gsLst>
            <a:gs pos="100000">
              <a:schemeClr val="phClr">
                <a:lumMod val="75000"/>
              </a:schemeClr>
            </a:gs>
            <a:gs pos="0">
              <a:schemeClr val="phClr">
                <a:lumMod val="75000"/>
                <a:hueOff val="-1670000"/>
              </a:schemeClr>
            </a:gs>
          </a:gsLst>
          <a:lin ang="5280000" scaled="0"/>
        </a:gradFill>
      </a:ln>
      <a:effectLst/>
    </cs:spPr>
  </cs:dataPoint>
  <cs:dataPoint3D>
    <cs:lnRef idx="0"/>
    <cs:fillRef idx="1">
      <cs:styleClr val="auto"/>
    </cs:fillRef>
    <cs:effectRef idx="0"/>
    <cs:fontRef idx="minor">
      <a:sysClr val="windowText" lastClr="000000"/>
    </cs:fontRef>
  </cs:dataPoint3D>
  <cs:dataPointLine>
    <cs:lnRef idx="0">
      <cs:styleClr val="auto"/>
    </cs:lnRef>
    <cs:fillRef idx="1"/>
    <cs:effectRef idx="0"/>
    <cs:fontRef idx="minor">
      <a:sysClr val="windowText" lastClr="000000"/>
    </cs:fontRef>
    <cs:spPr>
      <a:ln w="28575" cap="rnd">
        <a:solidFill>
          <a:schemeClr val="phClr"/>
        </a:solidFill>
        <a:round/>
      </a:ln>
    </cs:spPr>
  </cs:dataPointLine>
  <cs:dataPointMarker>
    <cs:lnRef idx="0">
      <cs:styleClr val="auto"/>
    </cs:lnRef>
    <cs:fillRef idx="1">
      <cs:styleClr val="auto"/>
    </cs:fillRef>
    <cs:effectRef idx="0"/>
    <cs:fontRef idx="minor">
      <a:sysClr val="windowText" lastClr="000000"/>
    </cs:fontRef>
    <cs:spPr>
      <a:ln w="9525">
        <a:solidFill>
          <a:schemeClr val="phClr"/>
        </a:solidFill>
      </a:ln>
    </cs:spPr>
  </cs:dataPointMarker>
  <cs:dataPointMarkerLayout symbol="circle" size="5"/>
  <cs:dataPointWireframe>
    <cs:lnRef idx="0">
      <cs:styleClr val="auto"/>
    </cs:lnRef>
    <cs:fillRef idx="1"/>
    <cs:effectRef idx="0"/>
    <cs:fontRef idx="minor">
      <a:sysClr val="windowText" lastClr="000000"/>
    </cs:fontRef>
    <cs:spPr>
      <a:ln w="9525" cap="rnd">
        <a:solidFill>
          <a:schemeClr val="phClr"/>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65000"/>
          <a:lumOff val="35000"/>
        </a:sysClr>
      </a:solidFill>
      <a:ln w="9525">
        <a:solidFill>
          <a:sysClr val="windowText" lastClr="000000">
            <a:lumMod val="65000"/>
            <a:lumOff val="35000"/>
          </a:sysClr>
        </a:solidFill>
      </a:ln>
    </cs:spPr>
  </cs:downBar>
  <cs:dropLine>
    <cs:lnRef idx="0"/>
    <cs:fillRef idx="0"/>
    <cs:effectRef idx="0"/>
    <cs:fontRef idx="minor">
      <a:sysClr val="windowText" lastClr="000000"/>
    </cs:fontRef>
    <cs:spPr>
      <a:ln w="9525">
        <a:solidFill>
          <a:sysClr val="windowText" lastClr="000000">
            <a:lumMod val="35000"/>
            <a:lumOff val="65000"/>
          </a:sysClr>
        </a:solidFill>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 lastClr="FFFFFF">
            <a:lumMod val="902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a:solidFill>
          <a:sysClr val="windowText" lastClr="000000">
            <a:lumMod val="75000"/>
            <a:lumOff val="25000"/>
          </a:sysClr>
        </a:solidFill>
      </a:ln>
    </cs:spPr>
  </cs:hiLoLine>
  <cs:leaderLine>
    <cs:lnRef idx="0"/>
    <cs:fillRef idx="0"/>
    <cs:effectRef idx="0"/>
    <cs:fontRef idx="minor">
      <a:sysClr val="windowText" lastClr="000000"/>
    </cs:fontRef>
    <cs:spPr>
      <a:ln w="9525">
        <a:solidFill>
          <a:sysClr val="windowText" lastClr="000000">
            <a:lumMod val="35000"/>
            <a:lumOff val="65000"/>
          </a:sysClr>
        </a:solidFill>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defRPr sz="900" kern="1200"/>
  </cs:seriesAxis>
  <cs:seriesLine>
    <cs:lnRef idx="0"/>
    <cs:fillRef idx="0"/>
    <cs:effectRef idx="0"/>
    <cs:fontRef idx="minor">
      <a:sysClr val="windowText" lastClr="000000"/>
    </cs:fontRef>
    <cs:spPr>
      <a:ln w="9525">
        <a:solidFill>
          <a:sysClr val="windowText" lastClr="000000">
            <a:lumMod val="35000"/>
            <a:lumOff val="65000"/>
          </a:sysClr>
        </a:solidFill>
      </a:ln>
    </cs:spPr>
  </cs:seriesLine>
  <cs:title>
    <cs:lnRef idx="0"/>
    <cs:fillRef idx="0"/>
    <cs:effectRef idx="0"/>
    <cs:fontRef idx="minor">
      <a:sysClr val="windowText" lastClr="000000">
        <a:lumMod val="75000"/>
        <a:lumOff val="25000"/>
      </a:sysClr>
    </cs:fontRef>
    <cs:defRPr sz="1400" b="1" kern="1200" baseline="0"/>
  </cs:title>
  <cs:trendline>
    <cs:lnRef idx="0">
      <cs:styleClr val="auto"/>
    </cs:lnRef>
    <cs:fillRef idx="0"/>
    <cs:effectRef idx="0"/>
    <cs:fontRef idx="minor">
      <a:sysClr val="windowText" lastClr="000000"/>
    </cs:fontRef>
    <cs:spPr>
      <a:ln w="19050" cap="rnd">
        <a:solidFill>
          <a:schemeClr val="phClr"/>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a:solidFill>
          <a:sysClr val="windowText" lastClr="000000">
            <a:lumMod val="15000"/>
            <a:lumOff val="85000"/>
          </a:sysClr>
        </a:solidFill>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charts/style4.xml><?xml version="1.0" encoding="utf-8"?>
<cs:chartStyle xmlns:cs="http://schemas.microsoft.com/office/drawing/2012/chartStyle" xmlns:a="http://schemas.openxmlformats.org/drawingml/2006/main" id="1012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alpha val="91000"/>
            </a:schemeClr>
          </a:gs>
          <a:gs pos="90000">
            <a:schemeClr val="phClr"/>
          </a:gs>
        </a:gsLst>
        <a:lin ang="10800000" scaled="0"/>
      </a:gradFill>
      <a:ln>
        <a:gradFill>
          <a:gsLst>
            <a:gs pos="0">
              <a:schemeClr val="phClr"/>
            </a:gs>
            <a:gs pos="100000">
              <a:schemeClr val="phClr">
                <a:lumMod val="75000"/>
              </a:schemeClr>
            </a:gs>
          </a:gsLst>
          <a:lin ang="10800000" scaled="0"/>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Pages>7</Pages>
  <Words>2143</Words>
  <Characters>2264</Characters>
  <Lines>0</Lines>
  <Paragraphs>0</Paragraphs>
  <TotalTime>320</TotalTime>
  <ScaleCrop>false</ScaleCrop>
  <LinksUpToDate>false</LinksUpToDate>
  <CharactersWithSpaces>2264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2025-01-11T01:30:00Z</dcterms:created>
  <dc:creator>政务服务事业部张俊杰</dc:creator>
  <cp:lastModifiedBy>齐柏林</cp:lastModifiedBy>
  <dcterms:modified xsi:type="dcterms:W3CDTF">2026-02-03T03:49:49Z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eyJoZGlkIjoiMDcyNjc3YWM5NGYyODYxNDE1ODhkZTI5ZTViNmNkZDAiLCJ1c2VySWQiOiIxMTAzOTE2Mzk0In0=</vt:lpwstr>
  </property>
  <property fmtid="{D5CDD505-2E9C-101B-9397-08002B2CF9AE}" pid="4" name="ICV">
    <vt:lpwstr>687E7E14C8824E68B83F5CF6B51631C4_13</vt:lpwstr>
  </property>
</Properties>
</file>