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600" w:lineRule="exact"/>
        <w:jc w:val="center"/>
        <w:rPr>
          <w:rFonts w:hint="eastAsia" w:ascii="方正小标宋简体" w:hAnsi="Times New Roman" w:eastAsia="方正小标宋简体" w:cs="Times New Roman"/>
          <w:sz w:val="44"/>
          <w:szCs w:val="44"/>
        </w:rPr>
      </w:pPr>
      <w:r>
        <w:rPr>
          <w:rFonts w:hint="eastAsia" w:ascii="方正小标宋简体" w:hAnsi="Times New Roman" w:eastAsia="方正小标宋简体" w:cs="Times New Roman"/>
          <w:sz w:val="44"/>
          <w:szCs w:val="44"/>
        </w:rPr>
        <w:t>亳州市2017年政府信息公开工作报告</w:t>
      </w:r>
    </w:p>
    <w:p>
      <w:pPr>
        <w:spacing w:line="600" w:lineRule="exact"/>
        <w:rPr>
          <w:rFonts w:ascii="Times New Roman" w:hAnsi="Times New Roman" w:eastAsia="方正仿宋_GBK" w:cs="Times New Roman"/>
          <w:sz w:val="32"/>
          <w:szCs w:val="32"/>
        </w:rPr>
      </w:pPr>
    </w:p>
    <w:p>
      <w:pPr>
        <w:spacing w:line="600" w:lineRule="exact"/>
        <w:ind w:firstLine="640" w:firstLineChars="200"/>
        <w:rPr>
          <w:rFonts w:hint="eastAsia" w:ascii="Times New Roman" w:hAnsi="Times New Roman" w:eastAsia="方正仿宋_GBK" w:cs="Times New Roman"/>
          <w:color w:val="454545"/>
          <w:sz w:val="32"/>
          <w:szCs w:val="32"/>
          <w:shd w:val="clear" w:color="auto" w:fill="FFFFFF"/>
        </w:rPr>
      </w:pPr>
      <w:r>
        <w:rPr>
          <w:rFonts w:ascii="Times New Roman" w:hAnsi="Times New Roman" w:eastAsia="方正仿宋_GBK" w:cs="Times New Roman"/>
          <w:color w:val="454545"/>
          <w:sz w:val="32"/>
          <w:szCs w:val="32"/>
          <w:shd w:val="clear" w:color="auto" w:fill="FFFFFF"/>
        </w:rPr>
        <w:t>2017年度亳州市政府信息公开工作年度报告是根据《中华人民共和国政府信息公开条例》要求编制而成。本报告全文由概述，主动公开政府信息情况，依申请公开政府信息及有关行政复议、诉讼情况，政府信息公开的收费及减免情况，存在的主要问题和改进措施等五个部分组成。本报告中所列数据的统计时限自201</w:t>
      </w:r>
      <w:r>
        <w:rPr>
          <w:rFonts w:hint="eastAsia" w:ascii="Times New Roman" w:hAnsi="Times New Roman" w:eastAsia="方正仿宋_GBK" w:cs="Times New Roman"/>
          <w:color w:val="454545"/>
          <w:sz w:val="32"/>
          <w:szCs w:val="32"/>
          <w:shd w:val="clear" w:color="auto" w:fill="FFFFFF"/>
        </w:rPr>
        <w:t>7</w:t>
      </w:r>
      <w:r>
        <w:rPr>
          <w:rFonts w:ascii="Times New Roman" w:hAnsi="Times New Roman" w:eastAsia="方正仿宋_GBK" w:cs="Times New Roman"/>
          <w:color w:val="454545"/>
          <w:sz w:val="32"/>
          <w:szCs w:val="32"/>
          <w:shd w:val="clear" w:color="auto" w:fill="FFFFFF"/>
        </w:rPr>
        <w:t>年1月1日至201</w:t>
      </w:r>
      <w:r>
        <w:rPr>
          <w:rFonts w:hint="eastAsia" w:ascii="Times New Roman" w:hAnsi="Times New Roman" w:eastAsia="方正仿宋_GBK" w:cs="Times New Roman"/>
          <w:color w:val="454545"/>
          <w:sz w:val="32"/>
          <w:szCs w:val="32"/>
          <w:shd w:val="clear" w:color="auto" w:fill="FFFFFF"/>
        </w:rPr>
        <w:t>7</w:t>
      </w:r>
      <w:r>
        <w:rPr>
          <w:rFonts w:ascii="Times New Roman" w:hAnsi="Times New Roman" w:eastAsia="方正仿宋_GBK" w:cs="Times New Roman"/>
          <w:color w:val="454545"/>
          <w:sz w:val="32"/>
          <w:szCs w:val="32"/>
          <w:shd w:val="clear" w:color="auto" w:fill="FFFFFF"/>
        </w:rPr>
        <w:t>年12月31日。本年度报告电子版可以在“亳州市政府信息公开网”（http://</w:t>
      </w:r>
      <w:r>
        <w:rPr>
          <w:rFonts w:hint="eastAsia" w:ascii="Times New Roman" w:hAnsi="Times New Roman" w:eastAsia="方正仿宋_GBK" w:cs="Times New Roman"/>
          <w:color w:val="454545"/>
          <w:sz w:val="32"/>
          <w:szCs w:val="32"/>
          <w:shd w:val="clear" w:color="auto" w:fill="FFFFFF"/>
        </w:rPr>
        <w:t>xxgk</w:t>
      </w:r>
      <w:r>
        <w:rPr>
          <w:rFonts w:ascii="Times New Roman" w:hAnsi="Times New Roman" w:eastAsia="方正仿宋_GBK" w:cs="Times New Roman"/>
          <w:color w:val="454545"/>
          <w:sz w:val="32"/>
          <w:szCs w:val="32"/>
          <w:shd w:val="clear" w:color="auto" w:fill="FFFFFF"/>
        </w:rPr>
        <w:t>.b</w:t>
      </w:r>
      <w:r>
        <w:rPr>
          <w:rFonts w:hint="eastAsia" w:ascii="Times New Roman" w:hAnsi="Times New Roman" w:eastAsia="方正仿宋_GBK" w:cs="Times New Roman"/>
          <w:color w:val="454545"/>
          <w:sz w:val="32"/>
          <w:szCs w:val="32"/>
          <w:shd w:val="clear" w:color="auto" w:fill="FFFFFF"/>
        </w:rPr>
        <w:t>ozhou</w:t>
      </w:r>
      <w:r>
        <w:rPr>
          <w:rFonts w:ascii="Times New Roman" w:hAnsi="Times New Roman" w:eastAsia="方正仿宋_GBK" w:cs="Times New Roman"/>
          <w:color w:val="454545"/>
          <w:sz w:val="32"/>
          <w:szCs w:val="32"/>
          <w:shd w:val="clear" w:color="auto" w:fill="FFFFFF"/>
        </w:rPr>
        <w:t>.gov.cn）上下载。如对本报告有任何疑问，请与亳州市政务公开办公室（地址：亳州市希夷大道588号6015室，邮编：236800，电话：0558－5555910，电子邮箱：b</w:t>
      </w:r>
      <w:r>
        <w:rPr>
          <w:rFonts w:hint="eastAsia" w:ascii="Times New Roman" w:hAnsi="Times New Roman" w:eastAsia="方正仿宋_GBK" w:cs="Times New Roman"/>
          <w:color w:val="454545"/>
          <w:sz w:val="32"/>
          <w:szCs w:val="32"/>
          <w:shd w:val="clear" w:color="auto" w:fill="FFFFFF"/>
        </w:rPr>
        <w:t>zszfwk</w:t>
      </w:r>
      <w:r>
        <w:rPr>
          <w:rFonts w:ascii="Times New Roman" w:hAnsi="Times New Roman" w:eastAsia="方正仿宋_GBK" w:cs="Times New Roman"/>
          <w:color w:val="454545"/>
          <w:sz w:val="32"/>
          <w:szCs w:val="32"/>
          <w:shd w:val="clear" w:color="auto" w:fill="FFFFFF"/>
        </w:rPr>
        <w:t>@163.com）联系。</w:t>
      </w:r>
    </w:p>
    <w:p>
      <w:pPr>
        <w:spacing w:line="600" w:lineRule="exact"/>
        <w:ind w:firstLine="640" w:firstLineChars="200"/>
        <w:rPr>
          <w:rFonts w:hint="eastAsia" w:ascii="方正黑体_GBK" w:hAnsi="Times New Roman" w:eastAsia="方正黑体_GBK" w:cs="Times New Roman"/>
          <w:color w:val="454545"/>
          <w:sz w:val="32"/>
          <w:szCs w:val="32"/>
          <w:shd w:val="clear" w:color="auto" w:fill="FFFFFF"/>
        </w:rPr>
      </w:pPr>
      <w:r>
        <w:rPr>
          <w:rFonts w:hint="eastAsia" w:ascii="方正黑体_GBK" w:hAnsi="Times New Roman" w:eastAsia="方正黑体_GBK" w:cs="Times New Roman"/>
          <w:color w:val="454545"/>
          <w:sz w:val="32"/>
          <w:szCs w:val="32"/>
          <w:shd w:val="clear" w:color="auto" w:fill="FFFFFF"/>
        </w:rPr>
        <w:t>一、概述</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今年以来，</w:t>
      </w:r>
      <w:r>
        <w:rPr>
          <w:rFonts w:hint="eastAsia" w:ascii="Times New Roman" w:hAnsi="Times New Roman" w:eastAsia="方正仿宋_GBK" w:cs="Times New Roman"/>
          <w:sz w:val="32"/>
          <w:szCs w:val="32"/>
        </w:rPr>
        <w:t>我</w:t>
      </w:r>
      <w:r>
        <w:rPr>
          <w:rFonts w:ascii="Times New Roman" w:hAnsi="Times New Roman" w:eastAsia="方正仿宋_GBK" w:cs="Times New Roman"/>
          <w:sz w:val="32"/>
          <w:szCs w:val="32"/>
        </w:rPr>
        <w:t>市在市委、市政府正确领导下，在省</w:t>
      </w:r>
      <w:r>
        <w:rPr>
          <w:rFonts w:hint="eastAsia" w:ascii="Times New Roman" w:hAnsi="Times New Roman" w:eastAsia="方正仿宋_GBK" w:cs="Times New Roman"/>
          <w:sz w:val="32"/>
          <w:szCs w:val="32"/>
        </w:rPr>
        <w:t>政府办公厅和省政务公开办大</w:t>
      </w:r>
      <w:r>
        <w:rPr>
          <w:rFonts w:ascii="Times New Roman" w:hAnsi="Times New Roman" w:eastAsia="方正仿宋_GBK" w:cs="Times New Roman"/>
          <w:sz w:val="32"/>
          <w:szCs w:val="32"/>
        </w:rPr>
        <w:t>力支持下，始终把中央精神，省委、省政府决策部署与政务公开建设管理实际紧密结合起来，牢牢把握稳中求进工作总基调，坚持以提高</w:t>
      </w:r>
      <w:r>
        <w:rPr>
          <w:rFonts w:hint="eastAsia" w:ascii="Times New Roman" w:hAnsi="Times New Roman" w:eastAsia="方正仿宋_GBK" w:cs="Times New Roman"/>
          <w:sz w:val="32"/>
          <w:szCs w:val="32"/>
        </w:rPr>
        <w:t>网站</w:t>
      </w:r>
      <w:r>
        <w:rPr>
          <w:rFonts w:ascii="Times New Roman" w:hAnsi="Times New Roman" w:eastAsia="方正仿宋_GBK" w:cs="Times New Roman"/>
          <w:sz w:val="32"/>
          <w:szCs w:val="32"/>
        </w:rPr>
        <w:t>质量和效益为中心，立足政府网站新定位，按照全面推进政务公开和深入</w:t>
      </w:r>
      <w:r>
        <w:rPr>
          <w:rFonts w:hint="eastAsia" w:ascii="Times New Roman" w:hAnsi="Times New Roman" w:eastAsia="方正仿宋_GBK" w:cs="Times New Roman"/>
          <w:sz w:val="32"/>
          <w:szCs w:val="32"/>
        </w:rPr>
        <w:t>推进</w:t>
      </w:r>
      <w:r>
        <w:rPr>
          <w:rFonts w:ascii="Times New Roman" w:hAnsi="Times New Roman" w:eastAsia="方正仿宋_GBK" w:cs="Times New Roman"/>
          <w:sz w:val="32"/>
          <w:szCs w:val="32"/>
        </w:rPr>
        <w:t>“互联网＋</w:t>
      </w:r>
      <w:r>
        <w:rPr>
          <w:rFonts w:hint="eastAsia" w:ascii="Times New Roman" w:hAnsi="Times New Roman" w:eastAsia="方正仿宋_GBK" w:cs="Times New Roman"/>
          <w:sz w:val="32"/>
          <w:szCs w:val="32"/>
        </w:rPr>
        <w:t>N</w:t>
      </w:r>
      <w:r>
        <w:rPr>
          <w:rFonts w:ascii="Times New Roman" w:hAnsi="Times New Roman" w:eastAsia="方正仿宋_GBK" w:cs="Times New Roman"/>
          <w:sz w:val="32"/>
          <w:szCs w:val="32"/>
        </w:rPr>
        <w:t>”的要求，以“五公开”为先导，不断完善政府网站功能，丰富</w:t>
      </w:r>
      <w:r>
        <w:rPr>
          <w:rFonts w:hint="eastAsia" w:ascii="Times New Roman" w:hAnsi="Times New Roman" w:eastAsia="方正仿宋_GBK" w:cs="Times New Roman"/>
          <w:sz w:val="32"/>
          <w:szCs w:val="32"/>
        </w:rPr>
        <w:t>政务</w:t>
      </w:r>
      <w:r>
        <w:rPr>
          <w:rFonts w:ascii="Times New Roman" w:hAnsi="Times New Roman" w:eastAsia="方正仿宋_GBK" w:cs="Times New Roman"/>
          <w:sz w:val="32"/>
          <w:szCs w:val="32"/>
        </w:rPr>
        <w:t>公开内容，提升</w:t>
      </w:r>
      <w:r>
        <w:rPr>
          <w:rFonts w:hint="eastAsia" w:ascii="Times New Roman" w:hAnsi="Times New Roman" w:eastAsia="方正仿宋_GBK" w:cs="Times New Roman"/>
          <w:sz w:val="32"/>
          <w:szCs w:val="32"/>
        </w:rPr>
        <w:t>政务</w:t>
      </w:r>
      <w:r>
        <w:rPr>
          <w:rFonts w:ascii="Times New Roman" w:hAnsi="Times New Roman" w:eastAsia="方正仿宋_GBK" w:cs="Times New Roman"/>
          <w:sz w:val="32"/>
          <w:szCs w:val="32"/>
        </w:rPr>
        <w:t>公开的服务能力和群众满意度，让</w:t>
      </w:r>
      <w:r>
        <w:rPr>
          <w:rFonts w:hint="eastAsia" w:ascii="Times New Roman" w:hAnsi="Times New Roman" w:eastAsia="方正仿宋_GBK" w:cs="Times New Roman"/>
          <w:sz w:val="32"/>
          <w:szCs w:val="32"/>
        </w:rPr>
        <w:t>政务</w:t>
      </w:r>
      <w:r>
        <w:rPr>
          <w:rFonts w:ascii="Times New Roman" w:hAnsi="Times New Roman" w:eastAsia="方正仿宋_GBK" w:cs="Times New Roman"/>
          <w:sz w:val="32"/>
          <w:szCs w:val="32"/>
        </w:rPr>
        <w:t>公开发挥更大作用，更好地服务经济发展，服务人民群众，在“2017互联网＋智慧中国年会”上，</w:t>
      </w:r>
      <w:r>
        <w:rPr>
          <w:rFonts w:hint="eastAsia" w:ascii="Times New Roman" w:hAnsi="Times New Roman" w:eastAsia="方正仿宋_GBK" w:cs="Times New Roman"/>
          <w:sz w:val="32"/>
          <w:szCs w:val="32"/>
        </w:rPr>
        <w:t>我</w:t>
      </w:r>
      <w:r>
        <w:rPr>
          <w:rFonts w:ascii="Times New Roman" w:hAnsi="Times New Roman" w:eastAsia="方正仿宋_GBK" w:cs="Times New Roman"/>
          <w:sz w:val="32"/>
          <w:szCs w:val="32"/>
        </w:rPr>
        <w:t>市人民政府门户网站荣获“政务公开领先奖”，其中政务公开单项考核获全国地市级第1名</w:t>
      </w:r>
      <w:r>
        <w:rPr>
          <w:rFonts w:hint="eastAsia" w:ascii="Times New Roman" w:hAnsi="Times New Roman" w:eastAsia="方正仿宋_GBK" w:cs="Times New Roman"/>
          <w:sz w:val="32"/>
          <w:szCs w:val="32"/>
        </w:rPr>
        <w:t>的</w:t>
      </w:r>
      <w:r>
        <w:rPr>
          <w:rFonts w:ascii="Times New Roman" w:hAnsi="Times New Roman" w:eastAsia="方正仿宋_GBK" w:cs="Times New Roman"/>
          <w:sz w:val="32"/>
          <w:szCs w:val="32"/>
        </w:rPr>
        <w:t>好成绩</w:t>
      </w:r>
      <w:r>
        <w:rPr>
          <w:rFonts w:hint="eastAsia" w:ascii="Times New Roman" w:hAnsi="Times New Roman" w:eastAsia="方正仿宋_GBK" w:cs="Times New Roman"/>
          <w:sz w:val="32"/>
          <w:szCs w:val="32"/>
        </w:rPr>
        <w:t>。</w:t>
      </w:r>
    </w:p>
    <w:p>
      <w:pPr>
        <w:spacing w:line="600" w:lineRule="exact"/>
        <w:ind w:firstLine="640" w:firstLineChars="200"/>
        <w:rPr>
          <w:rFonts w:hint="eastAsia" w:ascii="方正黑体_GBK" w:hAnsi="Times New Roman" w:eastAsia="方正黑体_GBK" w:cs="Times New Roman"/>
          <w:sz w:val="32"/>
          <w:szCs w:val="32"/>
        </w:rPr>
      </w:pPr>
      <w:r>
        <w:rPr>
          <w:rFonts w:hint="eastAsia" w:ascii="方正黑体_GBK" w:hAnsi="Times New Roman" w:eastAsia="方正黑体_GBK" w:cs="Times New Roman"/>
          <w:sz w:val="32"/>
          <w:szCs w:val="32"/>
        </w:rPr>
        <w:t>二、主动公开情况</w:t>
      </w:r>
    </w:p>
    <w:p>
      <w:pPr>
        <w:spacing w:line="60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（一）理顺工作机制，夯实工作基础。</w:t>
      </w:r>
    </w:p>
    <w:p>
      <w:pPr>
        <w:spacing w:line="600" w:lineRule="exact"/>
        <w:ind w:firstLine="640" w:firstLineChars="200"/>
        <w:rPr>
          <w:rFonts w:ascii="Times New Roman" w:hAnsi="Times New Roman" w:eastAsia="方正仿宋_GBK" w:cs="Times New Roman"/>
          <w:sz w:val="32"/>
          <w:szCs w:val="32"/>
        </w:rPr>
      </w:pPr>
      <w:r>
        <w:rPr>
          <w:rFonts w:hint="eastAsia" w:ascii="方正楷体_GBK" w:hAnsi="Times New Roman" w:eastAsia="方正楷体_GBK" w:cs="Times New Roman"/>
          <w:sz w:val="32"/>
          <w:szCs w:val="32"/>
          <w:lang w:eastAsia="zh-CN"/>
        </w:rPr>
        <w:t>一</w:t>
      </w:r>
      <w:r>
        <w:rPr>
          <w:rFonts w:hint="eastAsia" w:ascii="方正楷体_GBK" w:hAnsi="Times New Roman" w:eastAsia="方正楷体_GBK" w:cs="Times New Roman"/>
          <w:sz w:val="32"/>
          <w:szCs w:val="32"/>
        </w:rPr>
        <w:t>是领导高度重视，坚持日常调度。</w:t>
      </w:r>
      <w:r>
        <w:rPr>
          <w:rFonts w:hint="eastAsia" w:ascii="Times New Roman" w:hAnsi="Times New Roman" w:eastAsia="方正仿宋_GBK" w:cs="Times New Roman"/>
          <w:sz w:val="32"/>
          <w:szCs w:val="32"/>
        </w:rPr>
        <w:t>纳入市政府办公室管理以来，市政府领导坚持高位推进，抓常抓长，形成政务公开常态化工作机制：紧急工作随时汇报，日常工作每周汇报，难点工作每月调度，重点领域工作每季度召开会议研究推进，主动了解工作中遇到的瓶颈和短板，协调解决工作中存在困难和问题。</w:t>
      </w:r>
      <w:r>
        <w:rPr>
          <w:rFonts w:hint="eastAsia" w:ascii="方正楷体_GBK" w:hAnsi="Times New Roman" w:eastAsia="方正楷体_GBK" w:cs="Times New Roman"/>
          <w:sz w:val="32"/>
          <w:szCs w:val="32"/>
          <w:lang w:eastAsia="zh-CN"/>
        </w:rPr>
        <w:t>二</w:t>
      </w:r>
      <w:r>
        <w:rPr>
          <w:rFonts w:hint="eastAsia" w:ascii="方正楷体_GBK" w:hAnsi="Times New Roman" w:eastAsia="方正楷体_GBK" w:cs="Times New Roman"/>
          <w:sz w:val="32"/>
          <w:szCs w:val="32"/>
        </w:rPr>
        <w:t>是完善工作机制，科学管理运维。</w:t>
      </w:r>
      <w:r>
        <w:rPr>
          <w:rFonts w:hint="eastAsia" w:ascii="Times New Roman" w:hAnsi="Times New Roman" w:eastAsia="方正仿宋_GBK" w:cs="Times New Roman"/>
          <w:sz w:val="32"/>
          <w:szCs w:val="32"/>
        </w:rPr>
        <w:t>目前我市政务公开办共有政务公开专职人员7人，科学分工，有效协作，保障政务公开工作有序开展；通过购买服务方式与亳州晚报社进行深度合作，借助亳州晚报社的技术力量和新闻资源对政务公开各方面工作进行技术支持和有效补充，把市政务公开办的工作重心从办网向管网转移；市政务公开办多次列席市政府常务会，参与重大决策、</w:t>
      </w:r>
      <w:r>
        <w:rPr>
          <w:rFonts w:hint="eastAsia" w:ascii="方正仿宋_GBK" w:hAnsi="Times New Roman" w:eastAsia="方正仿宋_GBK"/>
          <w:color w:val="454545"/>
          <w:sz w:val="32"/>
          <w:szCs w:val="32"/>
          <w:shd w:val="clear" w:color="auto" w:fill="FFFFFF"/>
        </w:rPr>
        <w:t>舆论引导、</w:t>
      </w:r>
      <w:r>
        <w:rPr>
          <w:rFonts w:hint="eastAsia" w:ascii="Times New Roman" w:hAnsi="Times New Roman" w:eastAsia="方正仿宋_GBK" w:cs="Times New Roman"/>
          <w:sz w:val="32"/>
          <w:szCs w:val="32"/>
        </w:rPr>
        <w:t>新闻发布会等方面政策制定和工作实施，凸显了政务公开工作在相关方面的重要作用。</w:t>
      </w:r>
    </w:p>
    <w:p>
      <w:pPr>
        <w:widowControl/>
        <w:shd w:val="clear" w:color="auto" w:fill="FFFFFF"/>
        <w:adjustRightInd w:val="0"/>
        <w:snapToGrid w:val="0"/>
        <w:spacing w:line="60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（二）加强平台建设，优化升级功能。</w:t>
      </w:r>
    </w:p>
    <w:p>
      <w:pPr>
        <w:widowControl/>
        <w:shd w:val="clear" w:color="auto" w:fill="FFFFFF"/>
        <w:adjustRightInd w:val="0"/>
        <w:snapToGrid w:val="0"/>
        <w:spacing w:line="600" w:lineRule="exact"/>
        <w:ind w:firstLine="640" w:firstLineChars="200"/>
        <w:rPr>
          <w:rFonts w:ascii="Times New Roman" w:hAnsi="Times New Roman" w:eastAsia="仿宋" w:cs="Times New Roman"/>
          <w:color w:val="000000"/>
          <w:kern w:val="0"/>
          <w:sz w:val="32"/>
          <w:szCs w:val="32"/>
        </w:rPr>
      </w:pPr>
      <w:r>
        <w:rPr>
          <w:rFonts w:hint="eastAsia" w:ascii="方正楷体_GBK" w:hAnsi="Times New Roman" w:eastAsia="方正楷体_GBK" w:cs="Times New Roman"/>
          <w:sz w:val="32"/>
          <w:szCs w:val="32"/>
        </w:rPr>
        <w:t>一是重点推进政府网站集约化建设。</w:t>
      </w:r>
      <w:r>
        <w:rPr>
          <w:rFonts w:hint="eastAsia" w:ascii="Times New Roman" w:hAnsi="Times New Roman" w:eastAsia="方正仿宋_GBK" w:cs="Times New Roman"/>
          <w:sz w:val="32"/>
          <w:szCs w:val="32"/>
        </w:rPr>
        <w:t>以国办、省推进政务公开指导意见及其实施细则、《亳州市政府网站集约化建设方案》为指导，以《政府网站发展指引》为遵循，全力推进政府网站集约化，目前已全面完成市及各县区政府网站集约化建设，实现了政府网站和信息公开平台“一个后台管理，一个账号发布”，“两张皮”变 “一张网”，通过后台互联、数据互通，实现了政府网站和政务公开的深度融合。</w:t>
      </w:r>
      <w:r>
        <w:rPr>
          <w:rFonts w:hint="eastAsia" w:ascii="方正楷体_GBK" w:hAnsi="Times New Roman" w:eastAsia="方正楷体_GBK" w:cs="Times New Roman"/>
          <w:sz w:val="32"/>
          <w:szCs w:val="32"/>
        </w:rPr>
        <w:t>二是重点升级政务公开平台。</w:t>
      </w:r>
      <w:r>
        <w:rPr>
          <w:rFonts w:hint="eastAsia" w:ascii="Times New Roman" w:hAnsi="Times New Roman" w:eastAsia="方正仿宋_GBK" w:cs="Times New Roman"/>
          <w:sz w:val="32"/>
          <w:szCs w:val="32"/>
        </w:rPr>
        <w:t>依托政府门户网站，以全国、全省政务公开新要求为重点，对政务公开平台进行改版再升级，新版平台以“五公开”为先导，以重点领域信息公开为中心，以全领域公开为主体，以回应关切、舆情引导为补充，完善了全方位立体式的公开网络，既突出了政务公开重点，又不留公开死角，既完善了平台主体功能，又提升了网站整体质量。</w:t>
      </w:r>
      <w:r>
        <w:rPr>
          <w:rFonts w:hint="eastAsia" w:ascii="方正楷体_GBK" w:hAnsi="Times New Roman" w:eastAsia="方正楷体_GBK" w:cs="Times New Roman"/>
          <w:sz w:val="32"/>
          <w:szCs w:val="32"/>
        </w:rPr>
        <w:t>三是深度融合政务公开政务服务。</w:t>
      </w:r>
      <w:r>
        <w:rPr>
          <w:rFonts w:hint="eastAsia" w:ascii="Times New Roman" w:hAnsi="Times New Roman" w:eastAsia="方正仿宋_GBK" w:cs="Times New Roman"/>
          <w:sz w:val="32"/>
          <w:szCs w:val="32"/>
        </w:rPr>
        <w:t>以政府权力清单为基础，以信息化技术为支撑的“互联网+政务服务”网上办事大厅，整合了政府所有事项的办事流程和办事指南，让办事群众通过信息公开知晓最新政策，了解办事流程，让群众办事不跑腿、不费心。积极探索城市公共基础数据库与信息公开平台充分融合，以打造政府数据开放为政务公开工作向深处延伸的目标，目前53个部门855类26.4亿条公共数据，</w:t>
      </w:r>
      <w:bookmarkStart w:id="0" w:name="_GoBack"/>
      <w:bookmarkEnd w:id="0"/>
      <w:r>
        <w:rPr>
          <w:rFonts w:hint="eastAsia" w:ascii="Times New Roman" w:hAnsi="Times New Roman" w:eastAsia="方正仿宋_GBK" w:cs="Times New Roman"/>
          <w:sz w:val="32"/>
          <w:szCs w:val="32"/>
        </w:rPr>
        <w:t>实现了25家单位数据动态对接；完成身份证、户口簿、工商营业执照等218种2654万个常用证件的制证工作；更新120余家部门60.9万条自然人、90.1万条法人和其他组织信用数据，目前信息公开平台与数据库对接前期工作已经开展，实现政府数据开放必将对整合数据资源、提升政府运行效率、推进政务公开有质的提升。集约</w:t>
      </w:r>
      <w:r>
        <w:rPr>
          <w:rFonts w:ascii="Times New Roman" w:hAnsi="Times New Roman" w:eastAsia="方正仿宋_GBK" w:cs="Times New Roman"/>
          <w:sz w:val="32"/>
          <w:szCs w:val="32"/>
        </w:rPr>
        <w:t>化建设</w:t>
      </w:r>
      <w:r>
        <w:rPr>
          <w:rFonts w:hint="eastAsia" w:ascii="Times New Roman" w:hAnsi="Times New Roman" w:eastAsia="方正仿宋_GBK" w:cs="Times New Roman"/>
          <w:sz w:val="32"/>
          <w:szCs w:val="32"/>
        </w:rPr>
        <w:t>、</w:t>
      </w:r>
      <w:r>
        <w:rPr>
          <w:rFonts w:ascii="Times New Roman" w:hAnsi="Times New Roman" w:eastAsia="方正仿宋_GBK" w:cs="Times New Roman"/>
          <w:sz w:val="32"/>
          <w:szCs w:val="32"/>
        </w:rPr>
        <w:t>政务公开网站改版</w:t>
      </w:r>
      <w:r>
        <w:rPr>
          <w:rFonts w:hint="eastAsia" w:ascii="Times New Roman" w:hAnsi="Times New Roman" w:eastAsia="方正仿宋_GBK" w:cs="Times New Roman"/>
          <w:sz w:val="32"/>
          <w:szCs w:val="32"/>
        </w:rPr>
        <w:t>、</w:t>
      </w:r>
      <w:r>
        <w:rPr>
          <w:rFonts w:ascii="Times New Roman" w:hAnsi="Times New Roman" w:eastAsia="方正仿宋_GBK" w:cs="Times New Roman"/>
          <w:sz w:val="32"/>
          <w:szCs w:val="32"/>
        </w:rPr>
        <w:t>深度融合政务公开政府网站</w:t>
      </w:r>
      <w:r>
        <w:rPr>
          <w:rFonts w:hint="eastAsia" w:ascii="Times New Roman" w:hAnsi="Times New Roman" w:eastAsia="方正仿宋_GBK" w:cs="Times New Roman"/>
          <w:sz w:val="32"/>
          <w:szCs w:val="32"/>
        </w:rPr>
        <w:t>多管齐下</w:t>
      </w:r>
      <w:r>
        <w:rPr>
          <w:rFonts w:ascii="Times New Roman" w:hAnsi="Times New Roman" w:eastAsia="方正仿宋_GBK" w:cs="Times New Roman"/>
          <w:sz w:val="32"/>
          <w:szCs w:val="32"/>
        </w:rPr>
        <w:t>，真正让政府网站成为社会公众获取政府信息</w:t>
      </w:r>
      <w:r>
        <w:rPr>
          <w:rFonts w:hint="eastAsia" w:ascii="Times New Roman" w:hAnsi="Times New Roman" w:eastAsia="方正仿宋_GBK" w:cs="Times New Roman"/>
          <w:sz w:val="32"/>
          <w:szCs w:val="32"/>
        </w:rPr>
        <w:t>、</w:t>
      </w:r>
      <w:r>
        <w:rPr>
          <w:rFonts w:ascii="Times New Roman" w:hAnsi="Times New Roman" w:eastAsia="方正仿宋_GBK" w:cs="Times New Roman"/>
          <w:sz w:val="32"/>
          <w:szCs w:val="32"/>
        </w:rPr>
        <w:t>享受政府服务的权威平台。</w:t>
      </w:r>
    </w:p>
    <w:p>
      <w:pPr>
        <w:spacing w:line="60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（三）坚持问题导向，狠抓督查考核。</w:t>
      </w:r>
    </w:p>
    <w:p>
      <w:pPr>
        <w:spacing w:line="600" w:lineRule="exact"/>
        <w:ind w:firstLine="640" w:firstLineChars="200"/>
        <w:rPr>
          <w:rFonts w:ascii="Times New Roman" w:hAnsi="Times New Roman" w:eastAsia="方正仿宋_GBK" w:cs="Times New Roman"/>
          <w:sz w:val="32"/>
          <w:szCs w:val="32"/>
        </w:rPr>
      </w:pPr>
      <w:r>
        <w:rPr>
          <w:rFonts w:hint="eastAsia" w:ascii="方正楷体_GBK" w:hAnsi="Times New Roman" w:eastAsia="方正楷体_GBK" w:cs="Times New Roman"/>
          <w:sz w:val="32"/>
          <w:szCs w:val="32"/>
        </w:rPr>
        <w:t>一是做好全领域信息发布。</w:t>
      </w:r>
      <w:r>
        <w:rPr>
          <w:rFonts w:hint="eastAsia" w:ascii="Times New Roman" w:hAnsi="Times New Roman" w:eastAsia="方正仿宋_GBK" w:cs="Times New Roman"/>
          <w:sz w:val="32"/>
          <w:szCs w:val="32"/>
        </w:rPr>
        <w:t>以决策、执行、管理、服务、结果“五公开”为龙头，以重点领域信息公开为抓手，推进政府信息全领域公开。2017年全年我市共发布政府信息</w:t>
      </w:r>
      <w:r>
        <w:rPr>
          <w:rFonts w:hint="eastAsia" w:ascii="Times New Roman" w:hAnsi="Times New Roman" w:eastAsia="方正仿宋_GBK" w:cs="Times New Roman"/>
          <w:sz w:val="32"/>
          <w:szCs w:val="32"/>
          <w:lang w:val="en-US" w:eastAsia="zh-CN"/>
        </w:rPr>
        <w:t>195023</w:t>
      </w:r>
      <w:r>
        <w:rPr>
          <w:rFonts w:hint="eastAsia" w:ascii="Times New Roman" w:hAnsi="Times New Roman" w:eastAsia="方正仿宋_GBK" w:cs="Times New Roman"/>
          <w:sz w:val="32"/>
          <w:szCs w:val="32"/>
        </w:rPr>
        <w:t>条，其中市级部门发布</w:t>
      </w:r>
      <w:r>
        <w:rPr>
          <w:rFonts w:hint="eastAsia" w:ascii="Times New Roman" w:hAnsi="Times New Roman" w:eastAsia="方正仿宋_GBK" w:cs="Times New Roman"/>
          <w:sz w:val="32"/>
          <w:szCs w:val="32"/>
          <w:lang w:val="en-US" w:eastAsia="zh-CN"/>
        </w:rPr>
        <w:t>29586</w:t>
      </w:r>
      <w:r>
        <w:rPr>
          <w:rFonts w:hint="eastAsia" w:ascii="Times New Roman" w:hAnsi="Times New Roman" w:eastAsia="方正仿宋_GBK" w:cs="Times New Roman"/>
          <w:sz w:val="32"/>
          <w:szCs w:val="32"/>
        </w:rPr>
        <w:t>条，涡阳县</w:t>
      </w:r>
      <w:r>
        <w:rPr>
          <w:rFonts w:hint="eastAsia" w:ascii="Times New Roman" w:hAnsi="Times New Roman" w:eastAsia="方正仿宋_GBK" w:cs="Times New Roman"/>
          <w:sz w:val="32"/>
          <w:szCs w:val="32"/>
          <w:lang w:val="en-US" w:eastAsia="zh-CN"/>
        </w:rPr>
        <w:t>50133</w:t>
      </w:r>
      <w:r>
        <w:rPr>
          <w:rFonts w:hint="eastAsia" w:ascii="Times New Roman" w:hAnsi="Times New Roman" w:eastAsia="方正仿宋_GBK" w:cs="Times New Roman"/>
          <w:sz w:val="32"/>
          <w:szCs w:val="32"/>
        </w:rPr>
        <w:t>条，蒙城县</w:t>
      </w:r>
      <w:r>
        <w:rPr>
          <w:rFonts w:hint="eastAsia" w:ascii="Times New Roman" w:hAnsi="Times New Roman" w:eastAsia="方正仿宋_GBK" w:cs="Times New Roman"/>
          <w:sz w:val="32"/>
          <w:szCs w:val="32"/>
          <w:lang w:val="en-US" w:eastAsia="zh-CN"/>
        </w:rPr>
        <w:t>41384</w:t>
      </w:r>
      <w:r>
        <w:rPr>
          <w:rFonts w:hint="eastAsia" w:ascii="Times New Roman" w:hAnsi="Times New Roman" w:eastAsia="方正仿宋_GBK" w:cs="Times New Roman"/>
          <w:sz w:val="32"/>
          <w:szCs w:val="32"/>
        </w:rPr>
        <w:t>条，利辛县</w:t>
      </w:r>
      <w:r>
        <w:rPr>
          <w:rFonts w:hint="eastAsia" w:ascii="Times New Roman" w:hAnsi="Times New Roman" w:eastAsia="方正仿宋_GBK" w:cs="Times New Roman"/>
          <w:sz w:val="32"/>
          <w:szCs w:val="32"/>
          <w:lang w:val="en-US" w:eastAsia="zh-CN"/>
        </w:rPr>
        <w:t>37777</w:t>
      </w:r>
      <w:r>
        <w:rPr>
          <w:rFonts w:hint="eastAsia" w:ascii="Times New Roman" w:hAnsi="Times New Roman" w:eastAsia="方正仿宋_GBK" w:cs="Times New Roman"/>
          <w:sz w:val="32"/>
          <w:szCs w:val="32"/>
        </w:rPr>
        <w:t>条，谯城区</w:t>
      </w:r>
      <w:r>
        <w:rPr>
          <w:rFonts w:hint="eastAsia" w:ascii="Times New Roman" w:hAnsi="Times New Roman" w:eastAsia="方正仿宋_GBK" w:cs="Times New Roman"/>
          <w:sz w:val="32"/>
          <w:szCs w:val="32"/>
          <w:lang w:val="en-US" w:eastAsia="zh-CN"/>
        </w:rPr>
        <w:t>36143</w:t>
      </w:r>
      <w:r>
        <w:rPr>
          <w:rFonts w:hint="eastAsia" w:ascii="Times New Roman" w:hAnsi="Times New Roman" w:eastAsia="方正仿宋_GBK" w:cs="Times New Roman"/>
          <w:sz w:val="32"/>
          <w:szCs w:val="32"/>
        </w:rPr>
        <w:t>条，分别同比增长16.08%、76.69%、50.99%、128.80%、237.60%，重点领域发布信息</w:t>
      </w:r>
      <w:r>
        <w:rPr>
          <w:rFonts w:hint="eastAsia" w:ascii="Times New Roman" w:hAnsi="Times New Roman" w:eastAsia="方正仿宋_GBK" w:cs="Times New Roman"/>
          <w:sz w:val="32"/>
          <w:szCs w:val="32"/>
          <w:lang w:val="en-US" w:eastAsia="zh-CN"/>
        </w:rPr>
        <w:t>21635</w:t>
      </w:r>
      <w:r>
        <w:rPr>
          <w:rFonts w:hint="eastAsia" w:ascii="Times New Roman" w:hAnsi="Times New Roman" w:eastAsia="方正仿宋_GBK" w:cs="Times New Roman"/>
          <w:sz w:val="32"/>
          <w:szCs w:val="32"/>
        </w:rPr>
        <w:t>条，比去年同比增长</w:t>
      </w:r>
      <w:r>
        <w:rPr>
          <w:rFonts w:hint="eastAsia" w:ascii="Times New Roman" w:hAnsi="Times New Roman" w:eastAsia="方正仿宋_GBK" w:cs="Times New Roman"/>
          <w:sz w:val="32"/>
          <w:szCs w:val="32"/>
          <w:lang w:val="en-US" w:eastAsia="zh-CN"/>
        </w:rPr>
        <w:t>90.89</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市政办、</w:t>
      </w:r>
      <w:r>
        <w:rPr>
          <w:rFonts w:hint="eastAsia" w:ascii="Times New Roman" w:hAnsi="Times New Roman" w:eastAsia="方正仿宋_GBK" w:cs="Times New Roman"/>
          <w:sz w:val="32"/>
          <w:szCs w:val="32"/>
        </w:rPr>
        <w:t>涡阳县、蒙城县、利辛县、谯城区分别发布</w:t>
      </w:r>
      <w:r>
        <w:rPr>
          <w:rFonts w:hint="eastAsia" w:ascii="Times New Roman" w:hAnsi="Times New Roman" w:eastAsia="方正仿宋_GBK" w:cs="Times New Roman"/>
          <w:sz w:val="32"/>
          <w:szCs w:val="32"/>
          <w:lang w:val="en-US" w:eastAsia="zh-CN"/>
        </w:rPr>
        <w:t>4986条、5051</w:t>
      </w:r>
      <w:r>
        <w:rPr>
          <w:rFonts w:hint="eastAsia" w:ascii="Times New Roman" w:hAnsi="Times New Roman" w:eastAsia="方正仿宋_GBK" w:cs="Times New Roman"/>
          <w:sz w:val="32"/>
          <w:szCs w:val="32"/>
        </w:rPr>
        <w:t>条、</w:t>
      </w:r>
      <w:r>
        <w:rPr>
          <w:rFonts w:hint="eastAsia" w:ascii="Times New Roman" w:hAnsi="Times New Roman" w:eastAsia="方正仿宋_GBK" w:cs="Times New Roman"/>
          <w:sz w:val="32"/>
          <w:szCs w:val="32"/>
          <w:lang w:val="en-US" w:eastAsia="zh-CN"/>
        </w:rPr>
        <w:t>3417</w:t>
      </w:r>
      <w:r>
        <w:rPr>
          <w:rFonts w:hint="eastAsia" w:ascii="Times New Roman" w:hAnsi="Times New Roman" w:eastAsia="方正仿宋_GBK" w:cs="Times New Roman"/>
          <w:sz w:val="32"/>
          <w:szCs w:val="32"/>
        </w:rPr>
        <w:t>条、</w:t>
      </w:r>
      <w:r>
        <w:rPr>
          <w:rFonts w:hint="eastAsia" w:ascii="Times New Roman" w:hAnsi="Times New Roman" w:eastAsia="方正仿宋_GBK" w:cs="Times New Roman"/>
          <w:sz w:val="32"/>
          <w:szCs w:val="32"/>
          <w:lang w:val="en-US" w:eastAsia="zh-CN"/>
        </w:rPr>
        <w:t>4682</w:t>
      </w:r>
      <w:r>
        <w:rPr>
          <w:rFonts w:hint="eastAsia" w:ascii="Times New Roman" w:hAnsi="Times New Roman" w:eastAsia="方正仿宋_GBK" w:cs="Times New Roman"/>
          <w:sz w:val="32"/>
          <w:szCs w:val="32"/>
        </w:rPr>
        <w:t>条、</w:t>
      </w:r>
      <w:r>
        <w:rPr>
          <w:rFonts w:hint="eastAsia" w:ascii="Times New Roman" w:hAnsi="Times New Roman" w:eastAsia="方正仿宋_GBK" w:cs="Times New Roman"/>
          <w:sz w:val="32"/>
          <w:szCs w:val="32"/>
          <w:lang w:val="en-US" w:eastAsia="zh-CN"/>
        </w:rPr>
        <w:t>3499</w:t>
      </w:r>
      <w:r>
        <w:rPr>
          <w:rFonts w:hint="eastAsia" w:ascii="Times New Roman" w:hAnsi="Times New Roman" w:eastAsia="方正仿宋_GBK" w:cs="Times New Roman"/>
          <w:sz w:val="32"/>
          <w:szCs w:val="32"/>
        </w:rPr>
        <w:t>条，同比增长</w:t>
      </w:r>
      <w:r>
        <w:rPr>
          <w:rFonts w:hint="eastAsia" w:ascii="Times New Roman" w:hAnsi="Times New Roman" w:eastAsia="方正仿宋_GBK" w:cs="Times New Roman"/>
          <w:sz w:val="32"/>
          <w:szCs w:val="32"/>
          <w:lang w:val="en-US" w:eastAsia="zh-CN"/>
        </w:rPr>
        <w:t>8.30</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233.84</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374.50</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409.47</w:t>
      </w:r>
      <w:r>
        <w:rPr>
          <w:rFonts w:hint="eastAsia" w:ascii="Times New Roman" w:hAnsi="Times New Roman" w:eastAsia="方正仿宋_GBK" w:cs="Times New Roman"/>
          <w:sz w:val="32"/>
          <w:szCs w:val="32"/>
        </w:rPr>
        <w:t>%</w:t>
      </w:r>
      <w:r>
        <w:rPr>
          <w:rFonts w:hint="eastAsia" w:ascii="Times New Roman" w:hAnsi="Times New Roman" w:eastAsia="方正仿宋_GBK" w:cs="Times New Roman"/>
          <w:sz w:val="32"/>
          <w:szCs w:val="32"/>
          <w:lang w:eastAsia="zh-CN"/>
        </w:rPr>
        <w:t>、</w:t>
      </w:r>
      <w:r>
        <w:rPr>
          <w:rFonts w:hint="eastAsia" w:ascii="Times New Roman" w:hAnsi="Times New Roman" w:eastAsia="方正仿宋_GBK" w:cs="Times New Roman"/>
          <w:sz w:val="32"/>
          <w:szCs w:val="32"/>
          <w:lang w:val="en-US" w:eastAsia="zh-CN"/>
        </w:rPr>
        <w:t>105.34</w:t>
      </w:r>
      <w:r>
        <w:rPr>
          <w:rFonts w:hint="eastAsia" w:ascii="Times New Roman" w:hAnsi="Times New Roman" w:eastAsia="方正仿宋_GBK" w:cs="Times New Roman"/>
          <w:sz w:val="32"/>
          <w:szCs w:val="32"/>
        </w:rPr>
        <w:t>%，实现了数量质量双提升。</w:t>
      </w:r>
      <w:r>
        <w:rPr>
          <w:rFonts w:hint="eastAsia" w:ascii="方正楷体_GBK" w:hAnsi="Times New Roman" w:eastAsia="方正楷体_GBK" w:cs="Times New Roman"/>
          <w:sz w:val="32"/>
          <w:szCs w:val="32"/>
        </w:rPr>
        <w:t>二是强化日常监管。</w:t>
      </w:r>
      <w:r>
        <w:rPr>
          <w:rFonts w:hint="eastAsia" w:ascii="Times New Roman" w:hAnsi="Times New Roman" w:eastAsia="方正仿宋_GBK" w:cs="Times New Roman"/>
          <w:sz w:val="32"/>
          <w:szCs w:val="32"/>
        </w:rPr>
        <w:t>建立完善周巡检、月点评、季通报、年考核的递进式监测机制，实现监测常态化、考核日常化。今年以来全市共下发工作通报5期、下发日常监测问题清单632份、问题督办单17份、查摆问题1万余个，所有问题全部按时整改到位。</w:t>
      </w:r>
      <w:r>
        <w:rPr>
          <w:rFonts w:hint="eastAsia" w:ascii="方正楷体_GBK" w:hAnsi="Times New Roman" w:eastAsia="方正楷体_GBK" w:cs="Times New Roman"/>
          <w:sz w:val="32"/>
          <w:szCs w:val="32"/>
        </w:rPr>
        <w:t>三是创新督查方式方法。</w:t>
      </w:r>
      <w:r>
        <w:rPr>
          <w:rFonts w:hint="eastAsia" w:ascii="Times New Roman" w:hAnsi="Times New Roman" w:eastAsia="方正仿宋_GBK" w:cs="Times New Roman"/>
          <w:sz w:val="32"/>
          <w:szCs w:val="32"/>
        </w:rPr>
        <w:t>开展县区政务公开互查，引入政务公开第三方评测。采取各县区政务公开办人员集中办公，对县区和市直各单位进行随机抽签，共同监督方式开展，今年共开展县区政务公开互查2次，共抽查县区直单位及乡镇（街道）政府196家，占县区单位总数的67%，引入第三方全面评测2次，对政务公开开展情况进行独立评估，对评测中发现的问题集中反馈，集中整改，并及时调整新的目录指标体系，今年以来共测评政务公开单位179家，占全市政务公开单位总数的50%；通过互查和第三方评测，取得了良好的效果，切实有效提高了政务公开整体水平。</w:t>
      </w:r>
    </w:p>
    <w:p>
      <w:pPr>
        <w:spacing w:line="60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（四）主动解疑释惑，做好政策解读。</w:t>
      </w:r>
    </w:p>
    <w:p>
      <w:pPr>
        <w:spacing w:line="600" w:lineRule="exact"/>
        <w:ind w:firstLine="640"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rPr>
        <w:t>为充分发挥政务公开网站在政策发布和政策解读方面的作用，我市着重提升政策解读形式的多样性和内容的针对性：对涉及全市经济发展规划及民生关切的政府重要文件，最大化的通过图片、文字、图表等直观方式进行解读呈现，为让群众“一看就知晓，一点就明白”， 公开办人员主动学习图片制作等解读技能，不断提高了政府“红头文件”的知晓率、传播率和公众的理解率；对市民论坛、市长热线、电视问政、媒体聚焦等社会关心关切的热点问题主动会同有关部门，主动解疑释惑，发出政府权威声音。同时政务公开网</w:t>
      </w:r>
      <w:r>
        <w:rPr>
          <w:rFonts w:ascii="Times New Roman" w:hAnsi="Times New Roman" w:eastAsia="方正仿宋_GBK" w:cs="Times New Roman"/>
          <w:sz w:val="32"/>
          <w:szCs w:val="32"/>
        </w:rPr>
        <w:t>提供面向主要社交媒体的信息分享服务，加强与</w:t>
      </w:r>
      <w:r>
        <w:rPr>
          <w:rFonts w:hint="eastAsia" w:ascii="Times New Roman" w:hAnsi="Times New Roman" w:eastAsia="方正仿宋_GBK" w:cs="Times New Roman"/>
          <w:sz w:val="32"/>
          <w:szCs w:val="32"/>
        </w:rPr>
        <w:t>“两微一端”的相互转发，扩大传播覆盖面，将</w:t>
      </w:r>
      <w:r>
        <w:rPr>
          <w:rFonts w:ascii="Times New Roman" w:hAnsi="Times New Roman" w:eastAsia="方正仿宋_GBK" w:cs="Times New Roman"/>
          <w:sz w:val="32"/>
          <w:szCs w:val="32"/>
        </w:rPr>
        <w:t>政策解读打造成政府网站的靓丽名片</w:t>
      </w:r>
      <w:r>
        <w:rPr>
          <w:rFonts w:hint="eastAsia" w:ascii="Times New Roman" w:hAnsi="Times New Roman" w:eastAsia="方正仿宋_GBK" w:cs="Times New Roman"/>
          <w:sz w:val="32"/>
          <w:szCs w:val="32"/>
        </w:rPr>
        <w:t>。今年共编发政策解读类信息达315条，上级解读89条，公开办自身制作图片解读50条，文字解读98条，媒体解读33条，领导解读17条，其他解读19条，记者访谈9条，其中涉及政府文件解读65条，在社会上引起强烈反响，进一步提升了政府网站的知名度和点击率，取得良好效果。</w:t>
      </w:r>
    </w:p>
    <w:p>
      <w:pPr>
        <w:spacing w:line="600" w:lineRule="exact"/>
        <w:ind w:firstLine="640" w:firstLineChars="200"/>
        <w:rPr>
          <w:rFonts w:hint="eastAsia" w:ascii="方正楷体_GBK" w:hAnsi="Times New Roman" w:eastAsia="方正楷体_GBK" w:cs="Times New Roman"/>
          <w:sz w:val="32"/>
          <w:szCs w:val="32"/>
        </w:rPr>
      </w:pPr>
      <w:r>
        <w:rPr>
          <w:rFonts w:hint="eastAsia" w:ascii="方正楷体_GBK" w:hAnsi="Times New Roman" w:eastAsia="方正楷体_GBK" w:cs="Times New Roman"/>
          <w:sz w:val="32"/>
          <w:szCs w:val="32"/>
        </w:rPr>
        <w:t>（五）坚持以学促用，强化业务培训。</w:t>
      </w:r>
    </w:p>
    <w:p>
      <w:pPr>
        <w:spacing w:line="600" w:lineRule="exact"/>
        <w:ind w:firstLine="640" w:firstLineChars="200"/>
        <w:rPr>
          <w:rFonts w:hint="eastAsia" w:ascii="Times New Roman" w:hAnsi="Times New Roman" w:eastAsia="方正仿宋_GBK" w:cs="Times New Roman"/>
          <w:sz w:val="32"/>
          <w:szCs w:val="32"/>
        </w:rPr>
      </w:pPr>
      <w:r>
        <w:rPr>
          <w:rFonts w:hint="eastAsia" w:ascii="方正仿宋_GBK" w:hAnsi="Times New Roman" w:eastAsia="方正仿宋_GBK" w:cs="Times New Roman"/>
          <w:sz w:val="32"/>
          <w:szCs w:val="32"/>
        </w:rPr>
        <w:t>我市高度重</w:t>
      </w:r>
      <w:r>
        <w:rPr>
          <w:rFonts w:hint="eastAsia" w:ascii="Times New Roman" w:hAnsi="Times New Roman" w:eastAsia="方正仿宋_GBK" w:cs="Times New Roman"/>
          <w:sz w:val="32"/>
          <w:szCs w:val="32"/>
        </w:rPr>
        <w:t>视政务公开业务培训和人才队伍培养，每年坚持组织开展全市政务公开和政府网站业务培训，通过专家授课、现场教学、分组讨论等形式，不断提高领导和工作人员的政务公开和互联网意识，提高政策理解、信息采集、编辑加工、安全保障等方面业务水平。同时，市政务公开办定期赴各县区、各部门进行巡查和业务指导，有针对性的制作了各类业务指导PPT，采用面对面、点对点方式对一线政务公开人员进行业务指导，通过多层次多渠道的指导培训模式，今年累计培训830余人次，实现了全市政务公开人员轮训全覆盖，始终保证全市工作人员把握政务公开最新要求，紧跟形势不掉队。</w:t>
      </w:r>
    </w:p>
    <w:p>
      <w:pPr>
        <w:pStyle w:val="4"/>
        <w:widowControl/>
        <w:shd w:val="clear" w:color="auto" w:fill="FFFFFF"/>
        <w:spacing w:beforeAutospacing="0" w:afterAutospacing="0" w:line="480" w:lineRule="atLeast"/>
        <w:ind w:firstLine="640" w:firstLineChars="200"/>
        <w:rPr>
          <w:rFonts w:ascii="宋体" w:hAnsi="宋体" w:eastAsia="宋体" w:cs="宋体"/>
          <w:color w:val="333333"/>
          <w:sz w:val="21"/>
          <w:szCs w:val="21"/>
        </w:rPr>
      </w:pPr>
      <w:r>
        <w:rPr>
          <w:rStyle w:val="6"/>
          <w:rFonts w:hint="eastAsia" w:ascii="方正黑体_GBK" w:hAnsi="宋体" w:eastAsia="方正黑体_GBK" w:cs="黑体"/>
          <w:b w:val="0"/>
          <w:color w:val="333333"/>
          <w:sz w:val="32"/>
          <w:szCs w:val="32"/>
          <w:shd w:val="clear" w:color="auto" w:fill="FFFFFF"/>
        </w:rPr>
        <w:t>三、依申请公开政府信息及有关行政复议、诉讼情况。</w:t>
      </w:r>
      <w:r>
        <w:rPr>
          <w:rFonts w:hint="eastAsia" w:ascii="方正黑体_GBK" w:hAnsi="宋体" w:eastAsia="方正黑体_GBK" w:cs="宋体"/>
          <w:b/>
          <w:color w:val="333333"/>
          <w:sz w:val="32"/>
          <w:szCs w:val="32"/>
          <w:shd w:val="clear" w:color="auto" w:fill="FFFFFF"/>
        </w:rPr>
        <w:br w:type="textWrapping"/>
      </w:r>
      <w:r>
        <w:rPr>
          <w:rFonts w:ascii="Times New Roman" w:hAnsi="Times New Roman" w:eastAsia="方正仿宋_GBK"/>
          <w:color w:val="333333"/>
          <w:sz w:val="32"/>
          <w:szCs w:val="32"/>
          <w:shd w:val="clear" w:color="auto" w:fill="FFFFFF"/>
        </w:rPr>
        <w:t>　　我市高度重视依申请公开答复工作，进一步畅通网上及信函受理渠道，建立了市政务公开办具体办理、市法制办审核把关、多部门协同配合的信息公开申请答复机制。2017年市政府及市直部门收到依申请公开共</w:t>
      </w:r>
      <w:r>
        <w:rPr>
          <w:rFonts w:hint="eastAsia" w:ascii="Times New Roman" w:hAnsi="Times New Roman" w:eastAsia="方正仿宋_GBK"/>
          <w:color w:val="333333"/>
          <w:sz w:val="32"/>
          <w:szCs w:val="32"/>
          <w:shd w:val="clear" w:color="auto" w:fill="FFFFFF"/>
          <w:lang w:val="en-US" w:eastAsia="zh-CN"/>
        </w:rPr>
        <w:t>101</w:t>
      </w:r>
      <w:r>
        <w:rPr>
          <w:rFonts w:ascii="Times New Roman" w:hAnsi="Times New Roman" w:eastAsia="方正仿宋_GBK"/>
          <w:color w:val="333333"/>
          <w:sz w:val="32"/>
          <w:szCs w:val="32"/>
          <w:shd w:val="clear" w:color="auto" w:fill="FFFFFF"/>
        </w:rPr>
        <w:t>件，现已全部依法依规按时答复，其中</w:t>
      </w:r>
      <w:r>
        <w:rPr>
          <w:rFonts w:hint="eastAsia" w:ascii="Times New Roman" w:hAnsi="Times New Roman" w:eastAsia="方正仿宋_GBK"/>
          <w:color w:val="333333"/>
          <w:sz w:val="32"/>
          <w:szCs w:val="32"/>
          <w:shd w:val="clear" w:color="auto" w:fill="FFFFFF"/>
          <w:lang w:eastAsia="zh-CN"/>
        </w:rPr>
        <w:t>尚未办理</w:t>
      </w:r>
      <w:r>
        <w:rPr>
          <w:rFonts w:hint="eastAsia" w:ascii="Times New Roman" w:hAnsi="Times New Roman" w:eastAsia="方正仿宋_GBK"/>
          <w:color w:val="333333"/>
          <w:sz w:val="32"/>
          <w:szCs w:val="32"/>
          <w:shd w:val="clear" w:color="auto" w:fill="FFFFFF"/>
          <w:lang w:val="en-US" w:eastAsia="zh-CN"/>
        </w:rPr>
        <w:t>0件，</w:t>
      </w:r>
      <w:r>
        <w:rPr>
          <w:rFonts w:ascii="Times New Roman" w:hAnsi="Times New Roman" w:eastAsia="方正仿宋_GBK"/>
          <w:color w:val="333333"/>
          <w:sz w:val="32"/>
          <w:szCs w:val="32"/>
          <w:shd w:val="clear" w:color="auto" w:fill="FFFFFF"/>
        </w:rPr>
        <w:t>同意公开</w:t>
      </w:r>
      <w:r>
        <w:rPr>
          <w:rFonts w:hint="eastAsia" w:ascii="Times New Roman" w:hAnsi="Times New Roman" w:eastAsia="方正仿宋_GBK"/>
          <w:color w:val="333333"/>
          <w:sz w:val="32"/>
          <w:szCs w:val="32"/>
          <w:shd w:val="clear" w:color="auto" w:fill="FFFFFF"/>
          <w:lang w:val="en-US" w:eastAsia="zh-CN"/>
        </w:rPr>
        <w:t>48</w:t>
      </w:r>
      <w:r>
        <w:rPr>
          <w:rFonts w:ascii="Times New Roman" w:hAnsi="Times New Roman" w:eastAsia="方正仿宋_GBK"/>
          <w:color w:val="333333"/>
          <w:sz w:val="32"/>
          <w:szCs w:val="32"/>
          <w:shd w:val="clear" w:color="auto" w:fill="FFFFFF"/>
        </w:rPr>
        <w:t>件，</w:t>
      </w:r>
      <w:r>
        <w:rPr>
          <w:rFonts w:hint="eastAsia" w:ascii="Times New Roman" w:hAnsi="Times New Roman" w:eastAsia="方正仿宋_GBK"/>
          <w:color w:val="333333"/>
          <w:sz w:val="32"/>
          <w:szCs w:val="32"/>
          <w:shd w:val="clear" w:color="auto" w:fill="FFFFFF"/>
          <w:lang w:eastAsia="zh-CN"/>
        </w:rPr>
        <w:t>同意部分公开</w:t>
      </w:r>
      <w:r>
        <w:rPr>
          <w:rFonts w:hint="eastAsia" w:ascii="Times New Roman" w:hAnsi="Times New Roman" w:eastAsia="方正仿宋_GBK"/>
          <w:color w:val="333333"/>
          <w:sz w:val="32"/>
          <w:szCs w:val="32"/>
          <w:shd w:val="clear" w:color="auto" w:fill="FFFFFF"/>
          <w:lang w:val="en-US" w:eastAsia="zh-CN"/>
        </w:rPr>
        <w:t>6件，信息不存在6件，</w:t>
      </w:r>
      <w:r>
        <w:rPr>
          <w:rFonts w:ascii="Times New Roman" w:hAnsi="Times New Roman" w:eastAsia="方正仿宋_GBK"/>
          <w:color w:val="333333"/>
          <w:sz w:val="32"/>
          <w:szCs w:val="32"/>
          <w:shd w:val="clear" w:color="auto" w:fill="FFFFFF"/>
        </w:rPr>
        <w:t>非</w:t>
      </w:r>
      <w:r>
        <w:rPr>
          <w:rFonts w:hint="eastAsia" w:ascii="Times New Roman" w:hAnsi="Times New Roman" w:eastAsia="方正仿宋_GBK"/>
          <w:color w:val="333333"/>
          <w:sz w:val="32"/>
          <w:szCs w:val="32"/>
          <w:shd w:val="clear" w:color="auto" w:fill="FFFFFF"/>
          <w:lang w:eastAsia="zh-CN"/>
        </w:rPr>
        <w:t>本</w:t>
      </w:r>
      <w:r>
        <w:rPr>
          <w:rFonts w:ascii="Times New Roman" w:hAnsi="Times New Roman" w:eastAsia="方正仿宋_GBK"/>
          <w:color w:val="333333"/>
          <w:sz w:val="32"/>
          <w:szCs w:val="32"/>
          <w:shd w:val="clear" w:color="auto" w:fill="FFFFFF"/>
        </w:rPr>
        <w:t>部门掌握</w:t>
      </w:r>
      <w:r>
        <w:rPr>
          <w:rFonts w:hint="eastAsia" w:ascii="Times New Roman" w:hAnsi="Times New Roman" w:eastAsia="方正仿宋_GBK"/>
          <w:color w:val="333333"/>
          <w:sz w:val="32"/>
          <w:szCs w:val="32"/>
          <w:shd w:val="clear" w:color="auto" w:fill="FFFFFF"/>
          <w:lang w:val="en-US" w:eastAsia="zh-CN"/>
        </w:rPr>
        <w:t>21</w:t>
      </w:r>
      <w:r>
        <w:rPr>
          <w:rFonts w:ascii="Times New Roman" w:hAnsi="Times New Roman" w:eastAsia="方正仿宋_GBK"/>
          <w:color w:val="333333"/>
          <w:sz w:val="32"/>
          <w:szCs w:val="32"/>
          <w:shd w:val="clear" w:color="auto" w:fill="FFFFFF"/>
        </w:rPr>
        <w:t>件，</w:t>
      </w:r>
      <w:r>
        <w:rPr>
          <w:rFonts w:hint="eastAsia" w:ascii="Times New Roman" w:hAnsi="Times New Roman" w:eastAsia="方正仿宋_GBK"/>
          <w:color w:val="333333"/>
          <w:sz w:val="32"/>
          <w:szCs w:val="32"/>
          <w:shd w:val="clear" w:color="auto" w:fill="FFFFFF"/>
          <w:lang w:eastAsia="zh-CN"/>
        </w:rPr>
        <w:t>申请信息不明确</w:t>
      </w:r>
      <w:r>
        <w:rPr>
          <w:rFonts w:hint="eastAsia" w:ascii="Times New Roman" w:hAnsi="Times New Roman" w:eastAsia="方正仿宋_GBK"/>
          <w:color w:val="333333"/>
          <w:sz w:val="32"/>
          <w:szCs w:val="32"/>
          <w:shd w:val="clear" w:color="auto" w:fill="FFFFFF"/>
          <w:lang w:val="en-US" w:eastAsia="zh-CN"/>
        </w:rPr>
        <w:t>2件，已主动公开18件</w:t>
      </w:r>
      <w:r>
        <w:rPr>
          <w:rFonts w:hint="eastAsia" w:ascii="Times New Roman" w:hAnsi="Times New Roman" w:eastAsia="方正仿宋_GBK"/>
          <w:color w:val="333333"/>
          <w:sz w:val="32"/>
          <w:szCs w:val="32"/>
          <w:shd w:val="clear" w:color="auto" w:fill="FFFFFF"/>
          <w:lang w:eastAsia="zh-CN"/>
        </w:rPr>
        <w:t>。</w:t>
      </w:r>
    </w:p>
    <w:p>
      <w:pPr>
        <w:spacing w:line="600" w:lineRule="exact"/>
        <w:ind w:firstLine="640" w:firstLineChars="200"/>
        <w:rPr>
          <w:rFonts w:hint="eastAsia" w:ascii="Times New Roman" w:hAnsi="Times New Roman" w:eastAsia="方正仿宋_GBK" w:cs="Times New Roman"/>
          <w:color w:val="333333"/>
          <w:sz w:val="32"/>
          <w:szCs w:val="32"/>
          <w:shd w:val="clear" w:color="auto" w:fill="FFFFFF"/>
        </w:rPr>
      </w:pPr>
      <w:r>
        <w:rPr>
          <w:rStyle w:val="6"/>
          <w:rFonts w:hint="eastAsia" w:ascii="方正黑体_GBK" w:hAnsi="Times New Roman" w:eastAsia="方正黑体_GBK" w:cs="Times New Roman"/>
          <w:b w:val="0"/>
          <w:color w:val="333333"/>
          <w:sz w:val="32"/>
          <w:szCs w:val="32"/>
          <w:shd w:val="clear" w:color="auto" w:fill="FFFFFF"/>
        </w:rPr>
        <w:t>四、政府信息公开的收费及减免情况</w:t>
      </w:r>
      <w:r>
        <w:rPr>
          <w:rFonts w:ascii="Times New Roman" w:hAnsi="Times New Roman" w:eastAsia="方正仿宋_GBK" w:cs="Times New Roman"/>
          <w:color w:val="333333"/>
          <w:sz w:val="32"/>
          <w:szCs w:val="32"/>
          <w:shd w:val="clear" w:color="auto" w:fill="FFFFFF"/>
        </w:rPr>
        <w:br w:type="textWrapping"/>
      </w:r>
      <w:r>
        <w:rPr>
          <w:rFonts w:ascii="Times New Roman" w:hAnsi="Times New Roman" w:eastAsia="方正仿宋_GBK" w:cs="Times New Roman"/>
          <w:color w:val="333333"/>
          <w:sz w:val="32"/>
          <w:szCs w:val="32"/>
          <w:shd w:val="clear" w:color="auto" w:fill="FFFFFF"/>
        </w:rPr>
        <w:t>　　按照省物价局、省财政厅《关于我省行政机关依申请提供政府公开信息收费标准及有关事项的通知》（皖价费〔2008〕208号）规定，行政机关主动公开政府信息一律不得收取任何费用，依申请公开政府信息可收取检索费、复制费、邮寄费。我市没有发生政府信息公开收费情况。</w:t>
      </w:r>
      <w:r>
        <w:rPr>
          <w:rFonts w:ascii="Times New Roman" w:hAnsi="Times New Roman" w:eastAsia="方正仿宋_GBK" w:cs="Times New Roman"/>
          <w:color w:val="333333"/>
          <w:sz w:val="32"/>
          <w:szCs w:val="32"/>
          <w:shd w:val="clear" w:color="auto" w:fill="FFFFFF"/>
        </w:rPr>
        <w:br w:type="textWrapping"/>
      </w:r>
      <w:r>
        <w:rPr>
          <w:rStyle w:val="6"/>
          <w:rFonts w:hint="eastAsia" w:ascii="方正黑体_GBK" w:hAnsi="Times New Roman" w:eastAsia="方正黑体_GBK" w:cs="Times New Roman"/>
          <w:b w:val="0"/>
          <w:color w:val="333333"/>
          <w:sz w:val="32"/>
          <w:szCs w:val="32"/>
          <w:shd w:val="clear" w:color="auto" w:fill="FFFFFF"/>
        </w:rPr>
        <w:t xml:space="preserve">     五、存在问题</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（一）县区政务公开工作机构人员薄弱，各项工作推进有待于进一步加强，比如：各县区在全年规定工作之外不能够积极开展自选动作，对基层信息工开工作缺乏创新和研究推进。</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（二）网站建设工作需要专业技术人员。在2017年网站建设具体工作中，对县区一体化的高度集约和政府数据开放缺少技术辅导和支持。</w:t>
      </w:r>
    </w:p>
    <w:p>
      <w:pPr>
        <w:spacing w:line="600" w:lineRule="exact"/>
        <w:ind w:firstLine="640" w:firstLineChars="200"/>
        <w:rPr>
          <w:rFonts w:ascii="Times New Roman" w:hAnsi="Times New Roman" w:eastAsia="方正仿宋_GBK" w:cs="Times New Roman"/>
          <w:sz w:val="32"/>
          <w:szCs w:val="32"/>
        </w:rPr>
      </w:pPr>
      <w:r>
        <w:rPr>
          <w:rStyle w:val="6"/>
          <w:rFonts w:hint="eastAsia" w:ascii="方正黑体_GBK" w:hAnsi="Times New Roman" w:eastAsia="方正黑体_GBK" w:cs="Times New Roman"/>
          <w:b w:val="0"/>
          <w:color w:val="333333"/>
          <w:sz w:val="32"/>
          <w:szCs w:val="32"/>
          <w:shd w:val="clear" w:color="auto" w:fill="FFFFFF"/>
        </w:rPr>
        <w:t>六、2018年工作思路、具体举措</w:t>
      </w:r>
      <w:r>
        <w:rPr>
          <w:rFonts w:hint="eastAsia" w:ascii="Times New Roman" w:hAnsi="Times New Roman" w:eastAsia="方正仿宋_GBK" w:cs="Times New Roman"/>
          <w:color w:val="333333"/>
          <w:sz w:val="32"/>
          <w:szCs w:val="32"/>
          <w:shd w:val="clear" w:color="auto" w:fill="FFFFFF"/>
        </w:rPr>
        <w:br w:type="textWrapping"/>
      </w:r>
      <w:r>
        <w:rPr>
          <w:rFonts w:ascii="Times New Roman" w:hAnsi="Times New Roman" w:eastAsia="方正仿宋_GBK" w:cs="Times New Roman"/>
          <w:color w:val="333333"/>
          <w:sz w:val="32"/>
          <w:szCs w:val="32"/>
          <w:shd w:val="clear" w:color="auto" w:fill="FFFFFF"/>
        </w:rPr>
        <w:t>　　</w:t>
      </w:r>
      <w:r>
        <w:rPr>
          <w:rFonts w:ascii="Times New Roman" w:hAnsi="Times New Roman" w:eastAsia="方正仿宋_GBK" w:cs="Times New Roman"/>
          <w:sz w:val="32"/>
          <w:szCs w:val="32"/>
        </w:rPr>
        <w:t>（一）加强网站权威新闻发布工作，不断强化借助专业新闻机构的新闻资源对政务公开各方面工作进行支持和有效补充，不断提升政府网站的传播力和影响力。</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二）不断加强第三专业机构对政府网站和信息公开进行监测评估，保障网站在季度抽查工作中的合格率。探索推进各个县区基层开展第三方专业机构监测评估，以不断提高基层政府网站信息公开工作的效能和成绩。</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（三）建设政府网站智能搜索和无障碍浏览，不断加强网站的功能性和用户体验度，强化页面适应度进行适度改版，不断提升网站的专业性和综合平台能力。</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（四）加快全市集约化建设，根据《政府网站发展指引》的要求，全面推进“县区一体化”集约综合平台的任务，不断加强政府网站高度集约化。</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（五）根据《政府网站发展指引》的要求，加快推进政府数据开放应用，全力打造以政府网站的数据化、智能化、综合化和智慧化。</w:t>
      </w:r>
    </w:p>
    <w:p>
      <w:pPr>
        <w:spacing w:line="600" w:lineRule="exact"/>
        <w:ind w:firstLine="640"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（六）强化对外部积极沟通联络学习，不断加强政府网站建设的技术和理论的学习研究，紧跟新形势下的政府网站的发展方向而不断努力。</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altName w:val="微软雅黑"/>
    <w:panose1 w:val="03000509000000000000"/>
    <w:charset w:val="86"/>
    <w:family w:val="script"/>
    <w:pitch w:val="default"/>
    <w:sig w:usb0="00000000" w:usb1="00000000" w:usb2="00000010" w:usb3="00000000" w:csb0="00040000" w:csb1="00000000"/>
  </w:font>
  <w:font w:name="方正仿宋_GBK">
    <w:altName w:val="微软雅黑"/>
    <w:panose1 w:val="03000509000000000000"/>
    <w:charset w:val="86"/>
    <w:family w:val="script"/>
    <w:pitch w:val="default"/>
    <w:sig w:usb0="00000000" w:usb1="00000000" w:usb2="00000010" w:usb3="00000000" w:csb0="00040000" w:csb1="00000000"/>
  </w:font>
  <w:font w:name="方正黑体_GBK">
    <w:altName w:val="微软雅黑"/>
    <w:panose1 w:val="03000509000000000000"/>
    <w:charset w:val="86"/>
    <w:family w:val="script"/>
    <w:pitch w:val="default"/>
    <w:sig w:usb0="00000000" w:usb1="00000000" w:usb2="00000010" w:usb3="00000000" w:csb0="00040000" w:csb1="00000000"/>
  </w:font>
  <w:font w:name="方正楷体_GBK">
    <w:altName w:val="微软雅黑"/>
    <w:panose1 w:val="03000509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68349869"/>
      <w:docPartObj>
        <w:docPartGallery w:val="autotext"/>
      </w:docPartObj>
    </w:sdtPr>
    <w:sdtEndPr>
      <w:rPr>
        <w:rFonts w:asciiTheme="minorEastAsia" w:hAnsiTheme="minorEastAsia"/>
        <w:sz w:val="28"/>
        <w:szCs w:val="28"/>
      </w:rPr>
    </w:sdtEndPr>
    <w:sdtContent>
      <w:p>
        <w:pPr>
          <w:pStyle w:val="2"/>
          <w:jc w:val="center"/>
          <w:rPr>
            <w:rFonts w:asciiTheme="minorEastAsia" w:hAnsiTheme="minorEastAsia"/>
            <w:sz w:val="28"/>
            <w:szCs w:val="28"/>
          </w:rPr>
        </w:pPr>
        <w:r>
          <w:rPr>
            <w:rFonts w:hint="eastAsia" w:asciiTheme="minorEastAsia" w:hAnsiTheme="minorEastAsia"/>
            <w:sz w:val="28"/>
            <w:szCs w:val="28"/>
          </w:rPr>
          <w:t>—</w:t>
        </w:r>
        <w:r>
          <w:rPr>
            <w:rFonts w:asciiTheme="minorEastAsia" w:hAnsiTheme="minorEastAsia"/>
            <w:sz w:val="28"/>
            <w:szCs w:val="28"/>
          </w:rPr>
          <w:fldChar w:fldCharType="begin"/>
        </w:r>
        <w:r>
          <w:rPr>
            <w:rFonts w:asciiTheme="minorEastAsia" w:hAnsiTheme="minorEastAsia"/>
            <w:sz w:val="28"/>
            <w:szCs w:val="28"/>
          </w:rPr>
          <w:instrText xml:space="preserve">PAGE   \* MERGEFORMAT</w:instrText>
        </w:r>
        <w:r>
          <w:rPr>
            <w:rFonts w:asciiTheme="minorEastAsia" w:hAnsiTheme="minorEastAsia"/>
            <w:sz w:val="28"/>
            <w:szCs w:val="28"/>
          </w:rPr>
          <w:fldChar w:fldCharType="separate"/>
        </w:r>
        <w:r>
          <w:rPr>
            <w:rFonts w:asciiTheme="minorEastAsia" w:hAnsiTheme="minorEastAsia"/>
            <w:sz w:val="28"/>
            <w:szCs w:val="28"/>
            <w:lang w:val="zh-CN"/>
          </w:rPr>
          <w:t>5</w:t>
        </w:r>
        <w:r>
          <w:rPr>
            <w:rFonts w:asciiTheme="minorEastAsia" w:hAnsiTheme="minorEastAsia"/>
            <w:sz w:val="28"/>
            <w:szCs w:val="28"/>
          </w:rPr>
          <w:fldChar w:fldCharType="end"/>
        </w:r>
        <w:r>
          <w:rPr>
            <w:rFonts w:hint="eastAsia" w:asciiTheme="minorEastAsia" w:hAnsiTheme="minorEastAsia"/>
            <w:sz w:val="28"/>
            <w:szCs w:val="28"/>
          </w:rPr>
          <w:t>—</w:t>
        </w:r>
      </w:p>
    </w:sdtContent>
  </w:sdt>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102E"/>
    <w:rsid w:val="00247219"/>
    <w:rsid w:val="002900B8"/>
    <w:rsid w:val="002E7717"/>
    <w:rsid w:val="00304FE7"/>
    <w:rsid w:val="0041252C"/>
    <w:rsid w:val="004858B3"/>
    <w:rsid w:val="00496920"/>
    <w:rsid w:val="00565953"/>
    <w:rsid w:val="006E73D1"/>
    <w:rsid w:val="0097102E"/>
    <w:rsid w:val="00A87B5C"/>
    <w:rsid w:val="00AB70EB"/>
    <w:rsid w:val="00C97B6C"/>
    <w:rsid w:val="10EA105D"/>
    <w:rsid w:val="2BD1305F"/>
    <w:rsid w:val="5D8470B3"/>
    <w:rsid w:val="6D9267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7">
    <w:name w:val="Normal Table"/>
    <w:semiHidden/>
    <w:unhideWhenUsed/>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spacing w:beforeAutospacing="1" w:afterAutospacing="1"/>
      <w:jc w:val="left"/>
    </w:pPr>
    <w:rPr>
      <w:rFonts w:cs="Times New Roman"/>
      <w:kern w:val="0"/>
      <w:sz w:val="24"/>
      <w:szCs w:val="24"/>
    </w:rPr>
  </w:style>
  <w:style w:type="character" w:styleId="6">
    <w:name w:val="Strong"/>
    <w:basedOn w:val="5"/>
    <w:qFormat/>
    <w:uiPriority w:val="0"/>
    <w:rPr>
      <w:b/>
    </w:rPr>
  </w:style>
  <w:style w:type="character" w:customStyle="1" w:styleId="8">
    <w:name w:val="页眉 Char"/>
    <w:basedOn w:val="5"/>
    <w:link w:val="3"/>
    <w:qFormat/>
    <w:uiPriority w:val="99"/>
    <w:rPr>
      <w:sz w:val="18"/>
      <w:szCs w:val="18"/>
    </w:rPr>
  </w:style>
  <w:style w:type="character" w:customStyle="1" w:styleId="9">
    <w:name w:val="页脚 Char"/>
    <w:basedOn w:val="5"/>
    <w:link w:val="2"/>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636</Words>
  <Characters>3629</Characters>
  <Lines>30</Lines>
  <Paragraphs>8</Paragraphs>
  <ScaleCrop>false</ScaleCrop>
  <LinksUpToDate>false</LinksUpToDate>
  <CharactersWithSpaces>4257</CharactersWithSpaces>
  <Application>WPS Office_10.1.0.7224_F1E327BC-269C-435d-A152-05C5408002CA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2018-02-26T02:01:00Z</dcterms:created>
  <dc:creator>微软用户</dc:creator>
  <cp:lastModifiedBy>微月夕烟</cp:lastModifiedBy>
  <dcterms:modified xsi:type="dcterms:W3CDTF">2018-03-12T01:44:45Z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2052-10.1.0.7224</vt:lpwstr>
  </property>
</Properties>
</file>