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both"/>
        <w:rPr>
          <w:rFonts w:ascii="宋体" w:hAnsi="宋体"/>
          <w:b/>
          <w:sz w:val="44"/>
          <w:szCs w:val="44"/>
          <w:u w:val="single"/>
        </w:rPr>
      </w:pPr>
    </w:p>
    <w:p>
      <w:pPr>
        <w:adjustRightInd w:val="0"/>
        <w:snapToGrid w:val="0"/>
        <w:spacing w:line="360" w:lineRule="auto"/>
        <w:jc w:val="both"/>
        <w:rPr>
          <w:rFonts w:ascii="宋体" w:hAnsi="宋体"/>
          <w:b/>
          <w:sz w:val="44"/>
          <w:szCs w:val="44"/>
          <w:u w:val="single"/>
        </w:rPr>
      </w:pPr>
    </w:p>
    <w:p>
      <w:pPr>
        <w:adjustRightInd w:val="0"/>
        <w:snapToGrid w:val="0"/>
        <w:spacing w:line="360" w:lineRule="auto"/>
        <w:jc w:val="both"/>
        <w:rPr>
          <w:rFonts w:ascii="宋体" w:hAnsi="宋体"/>
          <w:b/>
          <w:sz w:val="44"/>
          <w:szCs w:val="44"/>
          <w:u w:val="single"/>
        </w:rPr>
      </w:pPr>
    </w:p>
    <w:p>
      <w:pPr>
        <w:adjustRightInd w:val="0"/>
        <w:snapToGrid w:val="0"/>
        <w:spacing w:line="360" w:lineRule="auto"/>
        <w:jc w:val="both"/>
        <w:rPr>
          <w:rFonts w:ascii="宋体" w:hAnsi="宋体"/>
          <w:b/>
          <w:sz w:val="44"/>
          <w:szCs w:val="44"/>
          <w:u w:val="single"/>
        </w:rPr>
      </w:pPr>
    </w:p>
    <w:p>
      <w:pPr>
        <w:adjustRightInd w:val="0"/>
        <w:snapToGrid w:val="0"/>
        <w:spacing w:line="360" w:lineRule="auto"/>
        <w:jc w:val="both"/>
        <w:rPr>
          <w:rFonts w:ascii="宋体" w:hAnsi="宋体"/>
          <w:b/>
          <w:sz w:val="44"/>
          <w:szCs w:val="44"/>
          <w:u w:val="single"/>
        </w:rPr>
      </w:pPr>
    </w:p>
    <w:p>
      <w:pPr>
        <w:adjustRightInd w:val="0"/>
        <w:snapToGrid w:val="0"/>
        <w:spacing w:line="360" w:lineRule="auto"/>
        <w:jc w:val="center"/>
        <w:rPr>
          <w:rFonts w:hint="eastAsia" w:ascii="华文中宋" w:hAnsi="华文中宋" w:eastAsia="华文中宋" w:cs="华文中宋"/>
          <w:b/>
          <w:sz w:val="52"/>
          <w:szCs w:val="84"/>
        </w:rPr>
      </w:pPr>
      <w:r>
        <w:rPr>
          <w:rFonts w:hint="eastAsia" w:ascii="华文中宋" w:hAnsi="华文中宋" w:eastAsia="华文中宋" w:cs="华文中宋"/>
          <w:b/>
          <w:sz w:val="52"/>
          <w:szCs w:val="84"/>
          <w:lang w:eastAsia="zh-CN"/>
        </w:rPr>
        <w:t>农工党亳州市委会</w:t>
      </w:r>
      <w:r>
        <w:rPr>
          <w:rFonts w:hint="eastAsia" w:ascii="华文中宋" w:hAnsi="华文中宋" w:eastAsia="华文中宋" w:cs="华文中宋"/>
          <w:b/>
          <w:sz w:val="52"/>
          <w:szCs w:val="84"/>
        </w:rPr>
        <w:t>20</w:t>
      </w:r>
      <w:r>
        <w:rPr>
          <w:rFonts w:hint="eastAsia" w:ascii="华文中宋" w:hAnsi="华文中宋" w:eastAsia="华文中宋" w:cs="华文中宋"/>
          <w:b/>
          <w:sz w:val="52"/>
          <w:szCs w:val="84"/>
          <w:lang w:val="en-US" w:eastAsia="zh-CN"/>
        </w:rPr>
        <w:t>23</w:t>
      </w:r>
      <w:r>
        <w:rPr>
          <w:rFonts w:hint="eastAsia" w:ascii="华文中宋" w:hAnsi="华文中宋" w:eastAsia="华文中宋" w:cs="华文中宋"/>
          <w:b/>
          <w:sz w:val="52"/>
          <w:szCs w:val="84"/>
        </w:rPr>
        <w:t>年部门预算</w:t>
      </w: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黑体" w:hAnsi="黑体" w:eastAsia="黑体"/>
          <w:bCs/>
          <w:sz w:val="44"/>
          <w:szCs w:val="44"/>
        </w:rPr>
      </w:pPr>
      <w:r>
        <w:rPr>
          <w:rFonts w:hint="eastAsia" w:ascii="黑体" w:hAnsi="黑体" w:eastAsia="黑体"/>
          <w:bCs/>
          <w:sz w:val="44"/>
          <w:szCs w:val="44"/>
        </w:rPr>
        <w:t>202</w:t>
      </w:r>
      <w:r>
        <w:rPr>
          <w:rFonts w:hint="eastAsia" w:ascii="黑体" w:hAnsi="黑体" w:eastAsia="黑体"/>
          <w:bCs/>
          <w:sz w:val="44"/>
          <w:szCs w:val="44"/>
          <w:lang w:val="en-US" w:eastAsia="zh-CN"/>
        </w:rPr>
        <w:t>3</w:t>
      </w:r>
      <w:r>
        <w:rPr>
          <w:rFonts w:hint="eastAsia" w:ascii="黑体" w:hAnsi="黑体" w:eastAsia="黑体"/>
          <w:bCs/>
          <w:sz w:val="44"/>
          <w:szCs w:val="44"/>
        </w:rPr>
        <w:t>年</w:t>
      </w:r>
      <w:r>
        <w:rPr>
          <w:rFonts w:ascii="黑体" w:hAnsi="黑体" w:eastAsia="黑体"/>
          <w:bCs/>
          <w:sz w:val="44"/>
          <w:szCs w:val="44"/>
        </w:rPr>
        <w:t>3</w:t>
      </w:r>
      <w:r>
        <w:rPr>
          <w:rFonts w:hint="eastAsia" w:ascii="黑体" w:hAnsi="黑体" w:eastAsia="黑体"/>
          <w:bCs/>
          <w:sz w:val="44"/>
          <w:szCs w:val="44"/>
        </w:rPr>
        <w:t>月</w:t>
      </w: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both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both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both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both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500" w:lineRule="exact"/>
        <w:jc w:val="center"/>
        <w:rPr>
          <w:rFonts w:ascii="黑体" w:hAnsi="黑体" w:eastAsia="黑体"/>
          <w:bCs/>
          <w:sz w:val="44"/>
          <w:szCs w:val="44"/>
        </w:rPr>
      </w:pPr>
      <w:r>
        <w:rPr>
          <w:rFonts w:hint="eastAsia" w:ascii="黑体" w:hAnsi="黑体" w:eastAsia="黑体"/>
          <w:bCs/>
          <w:sz w:val="44"/>
          <w:szCs w:val="44"/>
        </w:rPr>
        <w:t>目 录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3" w:firstLineChars="200"/>
        <w:jc w:val="both"/>
        <w:rPr>
          <w:rFonts w:ascii="仿宋_GB2312" w:hAnsi="仿宋" w:eastAsia="仿宋_GB2312" w:cs="仿宋"/>
          <w:b/>
          <w:sz w:val="32"/>
          <w:szCs w:val="32"/>
        </w:rPr>
      </w:pPr>
      <w:r>
        <w:rPr>
          <w:rFonts w:hint="eastAsia" w:ascii="仿宋_GB2312" w:hAnsi="仿宋" w:eastAsia="仿宋_GB2312" w:cs="仿宋"/>
          <w:b/>
          <w:sz w:val="32"/>
          <w:szCs w:val="32"/>
        </w:rPr>
        <w:t xml:space="preserve">第一部分 </w:t>
      </w:r>
      <w:r>
        <w:rPr>
          <w:rFonts w:hint="eastAsia" w:ascii="仿宋_GB2312" w:hAnsi="仿宋" w:eastAsia="仿宋_GB2312" w:cs="仿宋"/>
          <w:b/>
          <w:sz w:val="32"/>
          <w:szCs w:val="32"/>
          <w:lang w:eastAsia="zh-CN"/>
        </w:rPr>
        <w:t>部门</w:t>
      </w:r>
      <w:r>
        <w:rPr>
          <w:rFonts w:hint="eastAsia" w:ascii="仿宋_GB2312" w:hAnsi="仿宋" w:eastAsia="仿宋_GB2312" w:cs="仿宋"/>
          <w:b/>
          <w:sz w:val="32"/>
          <w:szCs w:val="32"/>
        </w:rPr>
        <w:t>概况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1.主要职责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2.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部门</w:t>
      </w:r>
      <w:r>
        <w:rPr>
          <w:rFonts w:hint="eastAsia" w:ascii="仿宋_GB2312" w:hAnsi="仿宋" w:eastAsia="仿宋_GB2312" w:cs="仿宋"/>
          <w:bCs/>
          <w:sz w:val="32"/>
          <w:szCs w:val="32"/>
        </w:rPr>
        <w:t>预算构成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3.202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年度主要工作任务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3" w:firstLineChars="200"/>
        <w:rPr>
          <w:rFonts w:ascii="仿宋_GB2312" w:hAnsi="仿宋" w:eastAsia="仿宋_GB2312" w:cs="仿宋"/>
          <w:b/>
          <w:sz w:val="32"/>
          <w:szCs w:val="32"/>
        </w:rPr>
      </w:pPr>
      <w:r>
        <w:rPr>
          <w:rFonts w:hint="eastAsia" w:ascii="仿宋_GB2312" w:hAnsi="仿宋" w:eastAsia="仿宋_GB2312" w:cs="仿宋"/>
          <w:b/>
          <w:sz w:val="32"/>
          <w:szCs w:val="32"/>
        </w:rPr>
        <w:t>第二部分 202</w:t>
      </w:r>
      <w:r>
        <w:rPr>
          <w:rFonts w:hint="eastAsia" w:ascii="仿宋_GB2312" w:hAnsi="仿宋" w:eastAsia="仿宋_GB2312" w:cs="仿宋"/>
          <w:b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/>
          <w:sz w:val="32"/>
          <w:szCs w:val="32"/>
        </w:rPr>
        <w:t>年</w:t>
      </w:r>
      <w:r>
        <w:rPr>
          <w:rFonts w:hint="eastAsia" w:ascii="仿宋_GB2312" w:hAnsi="仿宋" w:eastAsia="仿宋_GB2312" w:cs="仿宋"/>
          <w:b/>
          <w:sz w:val="32"/>
          <w:szCs w:val="32"/>
          <w:lang w:eastAsia="zh-CN"/>
        </w:rPr>
        <w:t>单位</w:t>
      </w:r>
      <w:r>
        <w:rPr>
          <w:rFonts w:hint="eastAsia" w:ascii="仿宋_GB2312" w:hAnsi="仿宋" w:eastAsia="仿宋_GB2312" w:cs="仿宋"/>
          <w:b/>
          <w:sz w:val="32"/>
          <w:szCs w:val="32"/>
        </w:rPr>
        <w:t>预算表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outlineLvl w:val="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1.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年收支总表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2.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年收入总表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outlineLvl w:val="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3.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农工党亳州市委会2022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年支出总表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4.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年财政拨款收支总表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outlineLvl w:val="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5.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年一般公共预算支出表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6.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年一般公共预算基本支出表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7.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年政府性基金预算支出表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8.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年国有资本经营预算支出表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9.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年项目支出表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10.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年政府采购支出表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11.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年政府购买服务支出表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3" w:firstLineChars="200"/>
        <w:rPr>
          <w:rFonts w:ascii="仿宋_GB2312" w:hAnsi="仿宋" w:eastAsia="仿宋_GB2312" w:cs="仿宋"/>
          <w:b/>
          <w:sz w:val="32"/>
          <w:szCs w:val="32"/>
        </w:rPr>
      </w:pPr>
      <w:r>
        <w:rPr>
          <w:rFonts w:hint="eastAsia" w:ascii="仿宋_GB2312" w:hAnsi="仿宋" w:eastAsia="仿宋_GB2312" w:cs="仿宋"/>
          <w:b/>
          <w:sz w:val="32"/>
          <w:szCs w:val="32"/>
        </w:rPr>
        <w:t xml:space="preserve">第三部分 </w:t>
      </w:r>
      <w:r>
        <w:rPr>
          <w:rFonts w:hint="eastAsia" w:ascii="仿宋_GB2312" w:hAnsi="仿宋" w:eastAsia="仿宋_GB2312" w:cs="仿宋"/>
          <w:b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/>
          <w:sz w:val="32"/>
          <w:szCs w:val="32"/>
        </w:rPr>
        <w:t>年</w:t>
      </w:r>
      <w:r>
        <w:rPr>
          <w:rFonts w:hint="eastAsia" w:ascii="仿宋_GB2312" w:hAnsi="仿宋" w:eastAsia="仿宋_GB2312" w:cs="仿宋"/>
          <w:b/>
          <w:sz w:val="32"/>
          <w:szCs w:val="32"/>
          <w:lang w:eastAsia="zh-CN"/>
        </w:rPr>
        <w:t>单位</w:t>
      </w:r>
      <w:r>
        <w:rPr>
          <w:rFonts w:hint="eastAsia" w:ascii="仿宋_GB2312" w:hAnsi="仿宋" w:eastAsia="仿宋_GB2312" w:cs="仿宋"/>
          <w:b/>
          <w:sz w:val="32"/>
          <w:szCs w:val="32"/>
        </w:rPr>
        <w:t>预算情况说明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outlineLvl w:val="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1.关于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年收支总表的说明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2.关于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年收入总表的说明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" w:eastAsia="仿宋_GB2312" w:cs="仿宋"/>
          <w:bCs/>
          <w:kern w:val="0"/>
          <w:sz w:val="32"/>
          <w:szCs w:val="32"/>
        </w:rPr>
      </w:pP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3.关于</w:t>
      </w:r>
      <w:r>
        <w:rPr>
          <w:rFonts w:hint="eastAsia" w:ascii="仿宋_GB2312" w:hAnsi="仿宋" w:eastAsia="仿宋_GB2312" w:cs="仿宋"/>
          <w:bCs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kern w:val="0"/>
          <w:sz w:val="32"/>
          <w:szCs w:val="32"/>
        </w:rPr>
        <w:t>年支出总表的说明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4.关于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年财政拨款收支总表的说明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5.关于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年一般公共预算支出表的说明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6.关于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年一般公共预算基本支出表的说明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7.关于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年政府性基金预算支出表的说明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8.关于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年国有资本经营预算支出表的说明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9.关于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年项目支出表的说明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10.关于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年政府采购支出表的说明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11.关于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 w:cs="仿宋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bCs/>
          <w:sz w:val="32"/>
          <w:szCs w:val="32"/>
        </w:rPr>
        <w:t>年政府购买服务支出表的说明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0" w:firstLineChars="200"/>
        <w:rPr>
          <w:rFonts w:ascii="仿宋_GB2312" w:hAnsi="仿宋" w:eastAsia="仿宋_GB2312" w:cs="仿宋"/>
          <w:bCs/>
          <w:sz w:val="32"/>
          <w:szCs w:val="32"/>
        </w:rPr>
      </w:pPr>
      <w:r>
        <w:rPr>
          <w:rFonts w:hint="eastAsia" w:ascii="仿宋_GB2312" w:hAnsi="仿宋" w:eastAsia="仿宋_GB2312" w:cs="仿宋"/>
          <w:bCs/>
          <w:sz w:val="32"/>
          <w:szCs w:val="32"/>
        </w:rPr>
        <w:t>12.其他重要事项情况说明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3" w:firstLineChars="200"/>
        <w:rPr>
          <w:rFonts w:ascii="仿宋_GB2312" w:hAnsi="仿宋" w:eastAsia="仿宋_GB2312" w:cs="仿宋"/>
          <w:b/>
          <w:sz w:val="32"/>
          <w:szCs w:val="32"/>
        </w:rPr>
      </w:pPr>
      <w:r>
        <w:rPr>
          <w:rFonts w:hint="eastAsia" w:ascii="仿宋_GB2312" w:hAnsi="仿宋" w:eastAsia="仿宋_GB2312" w:cs="仿宋"/>
          <w:b/>
          <w:sz w:val="32"/>
          <w:szCs w:val="32"/>
        </w:rPr>
        <w:t>第四部分 名词解释</w:t>
      </w: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3" w:firstLineChars="200"/>
        <w:rPr>
          <w:rFonts w:ascii="仿宋_GB2312" w:hAnsi="仿宋" w:eastAsia="仿宋_GB2312" w:cs="仿宋"/>
          <w:b/>
          <w:sz w:val="32"/>
          <w:szCs w:val="32"/>
        </w:rPr>
      </w:pPr>
    </w:p>
    <w:p>
      <w:pPr>
        <w:pStyle w:val="5"/>
        <w:adjustRightInd w:val="0"/>
        <w:snapToGrid w:val="0"/>
        <w:spacing w:before="0" w:beforeAutospacing="0" w:after="0" w:afterAutospacing="0" w:line="500" w:lineRule="exact"/>
        <w:ind w:firstLine="643" w:firstLineChars="200"/>
        <w:rPr>
          <w:rFonts w:ascii="仿宋_GB2312" w:hAnsi="仿宋" w:eastAsia="仿宋_GB2312" w:cs="仿宋"/>
          <w:b/>
          <w:sz w:val="32"/>
          <w:szCs w:val="32"/>
        </w:rPr>
      </w:pPr>
    </w:p>
    <w:p>
      <w:pPr>
        <w:pStyle w:val="5"/>
        <w:adjustRightInd w:val="0"/>
        <w:snapToGrid w:val="0"/>
        <w:spacing w:before="0" w:beforeAutospacing="0" w:after="0" w:afterAutospacing="0" w:line="500" w:lineRule="exact"/>
        <w:rPr>
          <w:rFonts w:ascii="仿宋_GB2312" w:hAnsi="仿宋" w:eastAsia="仿宋_GB2312" w:cs="仿宋"/>
          <w:b/>
          <w:sz w:val="32"/>
          <w:szCs w:val="32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黑体" w:hAnsi="黑体" w:eastAsia="黑体"/>
          <w:bCs/>
          <w:sz w:val="36"/>
          <w:szCs w:val="36"/>
        </w:rPr>
      </w:pPr>
      <w:r>
        <w:rPr>
          <w:rFonts w:hint="eastAsia" w:ascii="黑体" w:hAnsi="黑体" w:eastAsia="黑体"/>
          <w:bCs/>
          <w:sz w:val="36"/>
          <w:szCs w:val="36"/>
        </w:rPr>
        <w:t xml:space="preserve">第一部分 </w:t>
      </w:r>
      <w:r>
        <w:rPr>
          <w:rFonts w:hint="eastAsia" w:ascii="黑体" w:hAnsi="黑体" w:eastAsia="黑体"/>
          <w:bCs/>
          <w:sz w:val="36"/>
          <w:szCs w:val="36"/>
          <w:lang w:eastAsia="zh-CN"/>
        </w:rPr>
        <w:t>部门</w:t>
      </w:r>
      <w:r>
        <w:rPr>
          <w:rFonts w:hint="eastAsia" w:ascii="黑体" w:hAnsi="黑体" w:eastAsia="黑体"/>
          <w:bCs/>
          <w:sz w:val="36"/>
          <w:szCs w:val="36"/>
        </w:rPr>
        <w:t>概况</w:t>
      </w:r>
    </w:p>
    <w:p>
      <w:pPr>
        <w:pStyle w:val="5"/>
        <w:adjustRightInd w:val="0"/>
        <w:snapToGrid w:val="0"/>
        <w:spacing w:before="0" w:beforeAutospacing="0" w:after="0" w:afterAutospacing="0" w:line="360" w:lineRule="auto"/>
        <w:ind w:firstLine="627" w:firstLineChars="196"/>
        <w:jc w:val="both"/>
      </w:pPr>
      <w:r>
        <w:rPr>
          <w:rFonts w:hint="eastAsia" w:ascii="黑体" w:hAnsi="黑体" w:eastAsia="黑体"/>
          <w:bCs/>
          <w:sz w:val="32"/>
          <w:szCs w:val="32"/>
        </w:rPr>
        <w:t>一、主要职责</w:t>
      </w:r>
    </w:p>
    <w:p>
      <w:pPr>
        <w:pStyle w:val="5"/>
        <w:adjustRightInd w:val="0"/>
        <w:snapToGrid w:val="0"/>
        <w:spacing w:before="0" w:beforeAutospacing="0" w:after="0" w:afterAutospacing="0" w:line="360" w:lineRule="auto"/>
        <w:ind w:firstLine="627" w:firstLineChars="196"/>
        <w:jc w:val="both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default" w:ascii="仿宋_GB2312" w:hAnsi="仿宋" w:eastAsia="仿宋_GB2312"/>
          <w:sz w:val="32"/>
          <w:szCs w:val="32"/>
        </w:rPr>
        <w:t>中国农工民主党是以医药卫生、人口资源和生态环境领域高中级知识分子为主、具有政治联盟特点、是接受中国共产党领导、同中国共产党通力合作的亲密友党，是致力于中国特色社会主义事业的参政党。中国农工民主党亳州市委员会为农工党的市级组织。在中共亳州市委和农工党安徽省委领导下，团结带领全市农工党员服务于我市经济发展和社会进步。重点发展有一定代表性人士，注重加强自身建设，不断提高党员思想政治素质，增强参政议政的能力和水平。发挥农工党特点和优势，开展调查研究，积极建言献策，履行参政议政、民主监督，参加有关中共党组织领导的政治协商职能。</w:t>
      </w:r>
    </w:p>
    <w:p>
      <w:pPr>
        <w:pStyle w:val="5"/>
        <w:adjustRightInd w:val="0"/>
        <w:snapToGrid w:val="0"/>
        <w:spacing w:before="0" w:beforeAutospacing="0" w:after="0" w:afterAutospacing="0" w:line="360" w:lineRule="auto"/>
        <w:ind w:firstLine="627" w:firstLineChars="196"/>
        <w:jc w:val="both"/>
      </w:pPr>
      <w:r>
        <w:rPr>
          <w:rFonts w:hint="eastAsia" w:ascii="黑体" w:hAnsi="黑体" w:eastAsia="黑体"/>
          <w:bCs/>
          <w:sz w:val="32"/>
          <w:szCs w:val="32"/>
        </w:rPr>
        <w:t>二、</w:t>
      </w:r>
      <w:r>
        <w:rPr>
          <w:rFonts w:hint="eastAsia" w:ascii="黑体" w:hAnsi="黑体" w:eastAsia="黑体"/>
          <w:bCs/>
          <w:sz w:val="32"/>
          <w:szCs w:val="32"/>
          <w:lang w:eastAsia="zh-CN"/>
        </w:rPr>
        <w:t>单位</w:t>
      </w:r>
      <w:r>
        <w:rPr>
          <w:rFonts w:hint="eastAsia" w:ascii="黑体" w:hAnsi="黑体" w:eastAsia="黑体"/>
          <w:bCs/>
          <w:sz w:val="32"/>
          <w:szCs w:val="32"/>
        </w:rPr>
        <w:t>预算构成</w:t>
      </w:r>
    </w:p>
    <w:p>
      <w:pPr>
        <w:pStyle w:val="5"/>
        <w:adjustRightInd w:val="0"/>
        <w:snapToGrid w:val="0"/>
        <w:spacing w:before="0" w:beforeAutospacing="0" w:after="0" w:afterAutospacing="0" w:line="360" w:lineRule="auto"/>
        <w:ind w:firstLine="627" w:firstLineChars="196"/>
        <w:jc w:val="both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从预算单位构成看，</w:t>
      </w:r>
      <w:r>
        <w:rPr>
          <w:rFonts w:hint="eastAsia" w:ascii="仿宋_GB2312" w:hAnsi="仿宋" w:eastAsia="仿宋_GB2312" w:cs="仿宋"/>
          <w:bCs/>
          <w:sz w:val="32"/>
          <w:szCs w:val="32"/>
          <w:lang w:eastAsia="zh-CN"/>
        </w:rPr>
        <w:t>农工党亳州市委会</w:t>
      </w:r>
      <w:r>
        <w:rPr>
          <w:rFonts w:hint="eastAsia" w:ascii="仿宋_GB2312" w:hAnsi="仿宋" w:eastAsia="仿宋_GB2312"/>
          <w:sz w:val="32"/>
          <w:szCs w:val="32"/>
        </w:rPr>
        <w:t>202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sz w:val="32"/>
          <w:szCs w:val="32"/>
        </w:rPr>
        <w:t>年度部门预算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只</w:t>
      </w:r>
      <w:r>
        <w:rPr>
          <w:rFonts w:hint="eastAsia" w:ascii="仿宋_GB2312" w:hAnsi="仿宋" w:eastAsia="仿宋_GB2312"/>
          <w:sz w:val="32"/>
          <w:szCs w:val="32"/>
        </w:rPr>
        <w:t>包括局本级预算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/>
          <w:sz w:val="32"/>
          <w:szCs w:val="32"/>
        </w:rPr>
        <w:t>纳入部门预算编制范围的单位共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" w:eastAsia="仿宋_GB2312"/>
          <w:sz w:val="32"/>
          <w:szCs w:val="32"/>
        </w:rPr>
        <w:t>个，具体情况见下表。</w:t>
      </w:r>
    </w:p>
    <w:tbl>
      <w:tblPr>
        <w:tblStyle w:val="6"/>
        <w:tblW w:w="9000" w:type="dxa"/>
        <w:tblInd w:w="288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0"/>
        <w:gridCol w:w="3600"/>
        <w:gridCol w:w="4500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序号</w:t>
            </w:r>
          </w:p>
        </w:tc>
        <w:tc>
          <w:tcPr>
            <w:tcW w:w="3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单位名称</w:t>
            </w:r>
          </w:p>
        </w:tc>
        <w:tc>
          <w:tcPr>
            <w:tcW w:w="45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单位性质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sz w:val="24"/>
                <w:u w:val="single"/>
              </w:rPr>
            </w:pPr>
            <w:r>
              <w:rPr>
                <w:rFonts w:hint="eastAsia" w:ascii="仿宋_GB2312" w:hAnsi="仿宋" w:eastAsia="仿宋_GB2312" w:cs="仿宋"/>
                <w:bCs/>
                <w:sz w:val="24"/>
                <w:lang w:eastAsia="zh-CN"/>
              </w:rPr>
              <w:t>农工党亳州市委会</w:t>
            </w:r>
            <w:r>
              <w:rPr>
                <w:rFonts w:hint="eastAsia" w:ascii="仿宋_GB2312" w:hAnsi="仿宋" w:eastAsia="仿宋_GB2312" w:cs="仿宋"/>
                <w:bCs/>
                <w:sz w:val="24"/>
              </w:rPr>
              <w:t>本级</w:t>
            </w:r>
          </w:p>
        </w:tc>
        <w:tc>
          <w:tcPr>
            <w:tcW w:w="4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sz w:val="24"/>
                <w:u w:val="single"/>
              </w:rPr>
            </w:pPr>
            <w:r>
              <w:rPr>
                <w:rFonts w:hint="eastAsia" w:ascii="仿宋_GB2312" w:hAnsi="仿宋" w:eastAsia="仿宋_GB2312" w:cs="仿宋"/>
                <w:bCs/>
                <w:sz w:val="24"/>
              </w:rPr>
              <w:t>行政单位</w:t>
            </w:r>
          </w:p>
        </w:tc>
      </w:tr>
    </w:tbl>
    <w:p>
      <w:pPr>
        <w:pStyle w:val="5"/>
        <w:adjustRightInd w:val="0"/>
        <w:snapToGrid w:val="0"/>
        <w:spacing w:before="0" w:beforeAutospacing="0" w:after="0" w:afterAutospacing="0" w:line="360" w:lineRule="auto"/>
        <w:ind w:firstLine="627" w:firstLineChars="196"/>
        <w:rPr>
          <w:rFonts w:hint="eastAsia" w:ascii="黑体" w:hAnsi="黑体" w:eastAsia="黑体"/>
          <w:bCs/>
          <w:sz w:val="32"/>
          <w:szCs w:val="32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ind w:firstLine="627" w:firstLineChars="196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三、</w:t>
      </w:r>
      <w:r>
        <w:rPr>
          <w:rFonts w:hint="eastAsia" w:ascii="黑体" w:hAnsi="黑体" w:eastAsia="黑体"/>
          <w:bCs/>
          <w:sz w:val="32"/>
          <w:szCs w:val="32"/>
          <w:lang w:eastAsia="zh-CN"/>
        </w:rPr>
        <w:t>202</w:t>
      </w:r>
      <w:r>
        <w:rPr>
          <w:rFonts w:hint="eastAsia" w:ascii="黑体" w:hAnsi="黑体" w:eastAsia="黑体"/>
          <w:bCs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/>
          <w:bCs/>
          <w:sz w:val="32"/>
          <w:szCs w:val="32"/>
        </w:rPr>
        <w:t>年度主要工作任务</w:t>
      </w:r>
    </w:p>
    <w:p>
      <w:pPr>
        <w:pStyle w:val="5"/>
        <w:adjustRightInd w:val="0"/>
        <w:snapToGrid w:val="0"/>
        <w:spacing w:before="0" w:beforeAutospacing="0" w:after="0" w:afterAutospacing="0" w:line="360" w:lineRule="auto"/>
        <w:ind w:firstLine="627" w:firstLineChars="196"/>
        <w:jc w:val="both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sz w:val="32"/>
          <w:szCs w:val="32"/>
        </w:rPr>
        <w:t>年，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农工党亳州市委会</w:t>
      </w:r>
      <w:r>
        <w:rPr>
          <w:rFonts w:hint="eastAsia" w:ascii="仿宋_GB2312" w:hAnsi="仿宋" w:eastAsia="仿宋_GB2312"/>
          <w:sz w:val="32"/>
          <w:szCs w:val="32"/>
        </w:rPr>
        <w:t>将紧紧围绕市委、市政府的中心工作，积极开展参政议政、民主监督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、</w:t>
      </w:r>
      <w:r>
        <w:rPr>
          <w:rFonts w:hint="eastAsia" w:ascii="仿宋_GB2312" w:hAnsi="仿宋" w:eastAsia="仿宋_GB2312"/>
          <w:sz w:val="32"/>
          <w:szCs w:val="32"/>
        </w:rPr>
        <w:t>社会服务等工作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。</w:t>
      </w:r>
    </w:p>
    <w:p>
      <w:pPr>
        <w:pStyle w:val="5"/>
        <w:adjustRightInd w:val="0"/>
        <w:snapToGrid w:val="0"/>
        <w:spacing w:before="0" w:beforeAutospacing="0" w:after="0" w:afterAutospacing="0" w:line="360" w:lineRule="auto"/>
        <w:ind w:firstLine="627" w:firstLineChars="196"/>
        <w:rPr>
          <w:rFonts w:ascii="仿宋_GB2312" w:hAnsi="仿宋" w:eastAsia="仿宋_GB2312" w:cs="仿宋"/>
          <w:bCs/>
          <w:sz w:val="32"/>
          <w:szCs w:val="32"/>
          <w:u w:val="single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黑体" w:hAnsi="黑体" w:eastAsia="黑体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Times New Roman" w:hAnsi="Times New Roman" w:eastAsia="黑体" w:cs="Times New Roman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Times New Roman" w:hAnsi="Times New Roman" w:eastAsia="黑体" w:cs="Times New Roman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Times New Roman" w:hAnsi="Times New Roman" w:eastAsia="黑体" w:cs="Times New Roman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center"/>
        <w:rPr>
          <w:rFonts w:ascii="Times New Roman" w:hAnsi="Times New Roman" w:eastAsia="黑体" w:cs="Times New Roman"/>
          <w:bCs/>
          <w:sz w:val="36"/>
          <w:szCs w:val="36"/>
        </w:rPr>
      </w:pPr>
      <w:r>
        <w:rPr>
          <w:rFonts w:ascii="Times New Roman" w:hAnsi="Times New Roman" w:eastAsia="黑体" w:cs="Times New Roman"/>
          <w:bCs/>
          <w:sz w:val="36"/>
          <w:szCs w:val="36"/>
        </w:rPr>
        <w:t>第二部分 202</w:t>
      </w:r>
      <w:r>
        <w:rPr>
          <w:rFonts w:hint="eastAsia" w:ascii="Times New Roman" w:hAnsi="Times New Roman" w:eastAsia="黑体" w:cs="Times New Roman"/>
          <w:bCs/>
          <w:sz w:val="36"/>
          <w:szCs w:val="36"/>
          <w:lang w:val="en-US" w:eastAsia="zh-CN"/>
        </w:rPr>
        <w:t>3</w:t>
      </w:r>
      <w:r>
        <w:rPr>
          <w:rFonts w:ascii="Times New Roman" w:hAnsi="Times New Roman" w:eastAsia="黑体" w:cs="Times New Roman"/>
          <w:bCs/>
          <w:sz w:val="36"/>
          <w:szCs w:val="36"/>
        </w:rPr>
        <w:t>年</w:t>
      </w:r>
      <w:r>
        <w:rPr>
          <w:rFonts w:hint="eastAsia" w:ascii="Times New Roman" w:hAnsi="Times New Roman" w:eastAsia="黑体" w:cs="Times New Roman"/>
          <w:bCs/>
          <w:sz w:val="36"/>
          <w:szCs w:val="36"/>
          <w:lang w:eastAsia="zh-CN"/>
        </w:rPr>
        <w:t>单位</w:t>
      </w:r>
      <w:r>
        <w:rPr>
          <w:rFonts w:ascii="Times New Roman" w:hAnsi="Times New Roman" w:eastAsia="黑体" w:cs="Times New Roman"/>
          <w:bCs/>
          <w:sz w:val="36"/>
          <w:szCs w:val="36"/>
        </w:rPr>
        <w:t>预算表</w:t>
      </w:r>
    </w:p>
    <w:tbl>
      <w:tblPr>
        <w:tblStyle w:val="6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7"/>
        <w:gridCol w:w="945"/>
        <w:gridCol w:w="3228"/>
        <w:gridCol w:w="13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部门（单位）公开表1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8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农工党亳州市委会2023年收支总表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部门（单位）名称：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8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33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6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收入项目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预算数</w:t>
            </w:r>
          </w:p>
        </w:tc>
        <w:tc>
          <w:tcPr>
            <w:tcW w:w="1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支出功能分类科目</w:t>
            </w:r>
          </w:p>
        </w:tc>
        <w:tc>
          <w:tcPr>
            <w:tcW w:w="7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一、一般公共预算拨款收入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83.42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一、一般公共服务支出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二、外交支出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三、国防支出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二、政府性基金预算拨款收入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四、公共安全支出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五、教育支出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三、国有资本经营预算拨款收入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六、科学技术支出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七、文化旅游体育与传媒支出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四、财政专户管理资金收入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八、社会保障和就业支出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九、社会保险基金支出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五、单位资金收入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十、卫生健康支出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事业收入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十一、节能环保支出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经营收入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十二、城乡社区支出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上级补助收入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十三、农林水支出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附属单位上缴收入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十四、交通运输支出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其他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十五、资源勘探工业信息等支出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十六、商业服务业等支出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十七、金融支出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六、上级转移支付收入（提前下达一般公共预算）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十八、援助其他地区支出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十九、自然资源海洋气象等支出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二十、住房保障支出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七、上级转移支付收入（提前下达政府性基金）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二十一、粮油物资储备支出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二十二、灾害防治及应急管理支出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八、上年结转结余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二十三、预备费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二十四、其他支出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二十五、转移性支出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二十六、债务还本支出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二十七、债务付息支出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二十八、债务发行费用支出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二十九、国有资本经营预算支出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本年结余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7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收入总计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83.43</w:t>
            </w:r>
          </w:p>
        </w:tc>
        <w:tc>
          <w:tcPr>
            <w:tcW w:w="3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支出总计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83.43</w:t>
            </w:r>
          </w:p>
        </w:tc>
      </w:tr>
    </w:tbl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Times New Roman" w:hAnsi="Times New Roman" w:eastAsia="黑体" w:cs="Times New Roman"/>
          <w:bCs/>
          <w:sz w:val="36"/>
          <w:szCs w:val="36"/>
        </w:rPr>
      </w:pPr>
    </w:p>
    <w:p>
      <w:pPr>
        <w:rPr>
          <w:rFonts w:ascii="Times New Roman" w:hAnsi="Times New Roman" w:cs="Times New Roman"/>
          <w:kern w:val="0"/>
          <w:sz w:val="20"/>
          <w:szCs w:val="20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tbl>
      <w:tblPr>
        <w:tblStyle w:val="6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0"/>
        <w:gridCol w:w="821"/>
        <w:gridCol w:w="821"/>
        <w:gridCol w:w="821"/>
        <w:gridCol w:w="697"/>
        <w:gridCol w:w="835"/>
        <w:gridCol w:w="766"/>
        <w:gridCol w:w="629"/>
        <w:gridCol w:w="560"/>
        <w:gridCol w:w="629"/>
        <w:gridCol w:w="697"/>
        <w:gridCol w:w="697"/>
        <w:gridCol w:w="560"/>
        <w:gridCol w:w="1230"/>
        <w:gridCol w:w="1059"/>
        <w:gridCol w:w="166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0"/>
                <w:szCs w:val="20"/>
                <w:lang w:eastAsia="zh-CN"/>
              </w:rPr>
              <w:t>单位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20"/>
                <w:szCs w:val="20"/>
              </w:rPr>
              <w:t>公开表2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eastAsia="zh-CN"/>
              </w:rPr>
              <w:t>农工党亳州市委会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</w:rPr>
              <w:t>202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val="en-US" w:eastAsia="zh-CN"/>
              </w:rPr>
              <w:t>3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</w:rPr>
              <w:t>年收入总表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 w:val="22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2"/>
              </w:rPr>
              <w:t>单位：万元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0" w:type="auto"/>
            <w:gridSpan w:val="1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本年收入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上年结转结余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小计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一般公共预算拨款收入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政府性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基金预算拨款收入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国有资本经营预算拨款收入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财政专户管理资金收入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单位资金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上级转移支付（提前下达一般公共预算)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上级转移支付（政府性基金)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单位资金小计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事业收入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上级补助收入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附属单位上缴收入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事业单位经营收入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其他收入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合计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83.43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83.42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0.01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中国农工民主党亳州市委员会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83.43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83.42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0.01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中国农工民主党亳州市委员会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83.43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83.42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  <w:t>0.01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>
      <w:pPr>
        <w:rPr>
          <w:rFonts w:ascii="Times New Roman" w:hAnsi="Times New Roman" w:cs="Times New Roman"/>
        </w:rPr>
        <w:sectPr>
          <w:pgSz w:w="16838" w:h="11906" w:orient="landscape"/>
          <w:pgMar w:top="1797" w:right="1440" w:bottom="1797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AndChars" w:linePitch="312" w:charSpace="0"/>
        </w:sectPr>
      </w:pPr>
    </w:p>
    <w:tbl>
      <w:tblPr>
        <w:tblStyle w:val="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1"/>
        <w:gridCol w:w="3606"/>
        <w:gridCol w:w="877"/>
        <w:gridCol w:w="972"/>
        <w:gridCol w:w="116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部门（单位）公开表3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eastAsia="zh-CN"/>
              </w:rPr>
              <w:t>农工党亳州市委会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2023年支出总表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部门（单位）名称：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功能科目编码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功能科目名称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   计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基本支出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67.68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一般公共服务支出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65.38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49.98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20128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民主党派及工商联事务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65.38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49.98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2012801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行政运行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49.98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49.98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2012899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其他民主党派及工商联事务支出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15.40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社会保障和就业支出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10.13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9.78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20805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行政事业单位养老支出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9.78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9.78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2080505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机关事业单位基本养老保险缴费支出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6.52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2080506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机关事业单位职业年金缴费支出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20899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其他社会保障和就业支出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2089999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其他社会保障和就业支出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卫生健康支出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21011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行政事业单位医疗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2101101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行政单位医疗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2101103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公务员医疗补助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0.09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0.09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住房保障支出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22102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住房改革支出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2210201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住房公积金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4.89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4.89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2210202</w:t>
            </w:r>
          </w:p>
        </w:tc>
        <w:tc>
          <w:tcPr>
            <w:tcW w:w="3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提租补贴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rPr>
          <w:rFonts w:ascii="Times New Roman" w:hAnsi="Times New Roman" w:cs="Times New Roman"/>
          <w:kern w:val="0"/>
          <w:sz w:val="20"/>
          <w:szCs w:val="20"/>
        </w:rPr>
      </w:pPr>
    </w:p>
    <w:tbl>
      <w:tblPr>
        <w:tblStyle w:val="6"/>
        <w:tblW w:w="5235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8"/>
        <w:gridCol w:w="742"/>
        <w:gridCol w:w="3069"/>
        <w:gridCol w:w="758"/>
        <w:gridCol w:w="862"/>
        <w:gridCol w:w="828"/>
        <w:gridCol w:w="86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部门（单位）公开表4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eastAsia="zh-CN"/>
              </w:rPr>
              <w:t>农工党亳州市委会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val="en-US" w:eastAsia="zh-CN"/>
              </w:rPr>
              <w:t>年财政拨款收支总表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部门（单位）名称：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8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4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收    入 </w:t>
            </w:r>
          </w:p>
        </w:tc>
        <w:tc>
          <w:tcPr>
            <w:tcW w:w="357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     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项目</w:t>
            </w:r>
          </w:p>
        </w:tc>
        <w:tc>
          <w:tcPr>
            <w:tcW w:w="4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预算数</w:t>
            </w:r>
          </w:p>
        </w:tc>
        <w:tc>
          <w:tcPr>
            <w:tcW w:w="1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预算数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一般公共预算拨款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政府性基金预算拨款</w:t>
            </w:r>
          </w:p>
        </w:tc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国有资本经营预算拨款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（一）一般公共预算拨款收入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一、一般公共服务支出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65.37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65.37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（二）政府性基金预算拨款收入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二、外交支出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（三）国有资本经营预算拨款收入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三、国防支出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四、公共安全支出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五、教育支出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六、科学技术支出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七、文化旅游体育与传媒支出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八、社会保障和就业支出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10.13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10.13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九、社会保险基金支出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十、卫生健康支出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十一、节能环保支出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十二、城乡社区支出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FF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十三、农林水支出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十四、交通运输支出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十五、资源勘探工业信息等支出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十六、商业服务业等支出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十七、金融支出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十八、援助其他地区支出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十九、自然资源海洋气象等支出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二十、住房保障支出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二十一、粮油物资储备支出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二十二、灾害防治及应急管理支出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二十三、预备费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二十四、其他支出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二十五、转移性支出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二十六、债务还本支出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二十七、债务付息支出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二十八、债务发行费用支出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二十九、国有资本经营预算支出</w:t>
            </w: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 入 总 计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tbl>
      <w:tblPr>
        <w:tblStyle w:val="6"/>
        <w:tblW w:w="0" w:type="auto"/>
        <w:tblInd w:w="-39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4"/>
        <w:gridCol w:w="3432"/>
        <w:gridCol w:w="663"/>
        <w:gridCol w:w="663"/>
        <w:gridCol w:w="663"/>
        <w:gridCol w:w="573"/>
        <w:gridCol w:w="11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部门（单位）公开表5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5"/>
                <w:szCs w:val="15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eastAsia="zh-CN"/>
              </w:rPr>
              <w:t>农工党亳州市委会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2023年一般公共预算支出表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部门（单位）名称：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功能分类科目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基本支出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科目编码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科目名称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人员经费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公用经费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67.67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62.99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一般公共服务支出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65.37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49.97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45.29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20128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民主党派及工商联事务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65.37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49.97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45.29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2012801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行政运行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49.97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49.97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45.29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2012899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其他民主党派及工商联事务支出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社会保障和就业支出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20805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行政事业单位养老支出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2080505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机关事业单位基本养老保险缴费支出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2080506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机关事业单位职业年金缴费支出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20899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其他社会保障和就业支出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2089999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其他社会保障和就业支出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卫生健康支出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21011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行政事业单位医疗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2101101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行政单位医疗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2101103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公务员医疗补助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住房保障支出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22102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住房改革支出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2210201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住房公积金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2210202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　提租补贴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9"/>
        <w:gridCol w:w="4504"/>
        <w:gridCol w:w="12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部门（单位）公开表6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eastAsia="zh-CN"/>
              </w:rPr>
              <w:t>农工党亳州市委会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2023年一般公共预算基本支出表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部门（单位）名称：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经济分类科目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科目编码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科目名称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工资福利支出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基本工资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16.41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30102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津贴补贴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奖金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17.21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伙食补助费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机关事业单位基本养老保险缴费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职业年金缴费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职工基本医疗保险缴费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30111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公务员医疗补助缴费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其他社会保障缴费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30113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住房公积金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商品和服务支出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30201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办公费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30215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会议费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30217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公务接待费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30228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工会经费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0.50</w:t>
            </w:r>
          </w:p>
        </w:tc>
      </w:tr>
    </w:tbl>
    <w:p>
      <w:pPr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>
      <w:pPr>
        <w:ind w:left="903" w:leftChars="430" w:firstLine="5400" w:firstLineChars="2700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>
      <w:pPr>
        <w:ind w:left="903" w:leftChars="430" w:firstLine="5400" w:firstLineChars="2700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>
      <w:pPr>
        <w:ind w:left="903" w:leftChars="430" w:firstLine="5400" w:firstLineChars="2700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>
      <w:pPr>
        <w:rPr>
          <w:rFonts w:ascii="Times New Roman" w:hAnsi="Times New Roman" w:cs="Times New Roman"/>
        </w:rPr>
      </w:pPr>
    </w:p>
    <w:tbl>
      <w:tblPr>
        <w:tblStyle w:val="6"/>
        <w:tblW w:w="5269" w:type="pc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3544"/>
        <w:gridCol w:w="1558"/>
        <w:gridCol w:w="1246"/>
        <w:gridCol w:w="136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24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Arial"/>
                <w:color w:val="000000"/>
                <w:kern w:val="0"/>
                <w:sz w:val="20"/>
                <w:szCs w:val="20"/>
                <w:lang w:eastAsia="zh-CN"/>
              </w:rPr>
            </w:pPr>
          </w:p>
          <w:p>
            <w:pPr>
              <w:widowControl/>
              <w:jc w:val="left"/>
              <w:rPr>
                <w:rFonts w:hint="eastAsia" w:ascii="宋体" w:hAnsi="宋体" w:eastAsia="宋体" w:cs="Arial"/>
                <w:color w:val="000000"/>
                <w:kern w:val="0"/>
                <w:sz w:val="20"/>
                <w:szCs w:val="20"/>
                <w:lang w:eastAsia="zh-CN"/>
              </w:rPr>
            </w:pPr>
          </w:p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0"/>
                <w:szCs w:val="20"/>
                <w:lang w:eastAsia="zh-CN"/>
              </w:rPr>
              <w:t>单位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20"/>
                <w:szCs w:val="20"/>
              </w:rPr>
              <w:t>公开表7</w:t>
            </w:r>
          </w:p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36"/>
                <w:szCs w:val="36"/>
                <w:lang w:eastAsia="zh-CN"/>
              </w:rPr>
              <w:t>农工党亳州市委会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36"/>
                <w:szCs w:val="36"/>
              </w:rPr>
              <w:t>202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>3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36"/>
                <w:szCs w:val="36"/>
              </w:rPr>
              <w:t>年政府性基金支出表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6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866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93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单位：万元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科目编码</w:t>
            </w:r>
          </w:p>
        </w:tc>
        <w:tc>
          <w:tcPr>
            <w:tcW w:w="197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科目名称</w:t>
            </w:r>
          </w:p>
        </w:tc>
        <w:tc>
          <w:tcPr>
            <w:tcW w:w="2317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本年政府性基金预算支出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69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基本支出</w:t>
            </w:r>
          </w:p>
        </w:tc>
        <w:tc>
          <w:tcPr>
            <w:tcW w:w="75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项目支出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1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7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75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注：</w:t>
      </w:r>
      <w:r>
        <w:rPr>
          <w:rFonts w:hint="eastAsia" w:ascii="Times New Roman" w:hAnsi="Times New Roman" w:cs="Times New Roman"/>
          <w:lang w:eastAsia="zh-CN"/>
        </w:rPr>
        <w:t>农工党亳州市委会</w:t>
      </w:r>
      <w:r>
        <w:rPr>
          <w:rFonts w:ascii="Times New Roman" w:hAnsi="Times New Roman" w:cs="Times New Roman"/>
        </w:rPr>
        <w:t>没有政府性基金预算拨款收入，也没有政府性基金预算拨款安排的支出，故本表无数据。</w:t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ind w:right="100"/>
        <w:rPr>
          <w:rFonts w:ascii="Times New Roman" w:hAnsi="Times New Roman" w:eastAsia="黑体" w:cs="Times New Roman"/>
          <w:bCs/>
          <w:sz w:val="36"/>
          <w:szCs w:val="36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hint="eastAsia" w:ascii="Times New Roman" w:hAnsi="Times New Roman" w:cs="Times New Roman"/>
          <w:sz w:val="20"/>
          <w:szCs w:val="20"/>
          <w:lang w:eastAsia="zh-CN"/>
        </w:rPr>
        <w:t>单位</w:t>
      </w:r>
      <w:r>
        <w:rPr>
          <w:rFonts w:ascii="Times New Roman" w:hAnsi="Times New Roman" w:cs="Times New Roman"/>
          <w:sz w:val="20"/>
          <w:szCs w:val="20"/>
        </w:rPr>
        <w:t>公开表8</w:t>
      </w:r>
    </w:p>
    <w:tbl>
      <w:tblPr>
        <w:tblStyle w:val="6"/>
        <w:tblW w:w="8789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"/>
        <w:gridCol w:w="2080"/>
        <w:gridCol w:w="1464"/>
        <w:gridCol w:w="1843"/>
        <w:gridCol w:w="1701"/>
        <w:gridCol w:w="15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7" w:hRule="atLeast"/>
        </w:trPr>
        <w:tc>
          <w:tcPr>
            <w:tcW w:w="878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华文中宋" w:cs="Times New Roman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华文中宋" w:cs="Times New Roman"/>
                <w:b/>
                <w:bCs/>
                <w:kern w:val="0"/>
                <w:sz w:val="28"/>
                <w:szCs w:val="28"/>
                <w:lang w:eastAsia="zh-CN"/>
              </w:rPr>
              <w:t>农工党亳州市委会</w:t>
            </w:r>
            <w:r>
              <w:rPr>
                <w:rFonts w:ascii="Times New Roman" w:hAnsi="Times New Roman" w:eastAsia="华文中宋" w:cs="Times New Roman"/>
                <w:b/>
                <w:bCs/>
                <w:kern w:val="0"/>
                <w:sz w:val="28"/>
                <w:szCs w:val="28"/>
              </w:rPr>
              <w:t>202</w:t>
            </w:r>
            <w:r>
              <w:rPr>
                <w:rFonts w:hint="eastAsia" w:ascii="Times New Roman" w:hAnsi="Times New Roman" w:eastAsia="华文中宋" w:cs="Times New Roman"/>
                <w:b/>
                <w:bCs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ascii="Times New Roman" w:hAnsi="Times New Roman" w:eastAsia="华文中宋" w:cs="Times New Roman"/>
                <w:b/>
                <w:bCs/>
                <w:kern w:val="0"/>
                <w:sz w:val="28"/>
                <w:szCs w:val="28"/>
              </w:rPr>
              <w:t>年国有资本经营预算支出表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42" w:type="dxa"/>
          <w:trHeight w:val="240" w:hRule="atLeast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eastAsia="zh-CN"/>
              </w:rPr>
              <w:t>单位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名称：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单位：万元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42" w:type="dxa"/>
          <w:trHeight w:val="720" w:hRule="atLeast"/>
        </w:trPr>
        <w:tc>
          <w:tcPr>
            <w:tcW w:w="208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科目编码</w:t>
            </w:r>
          </w:p>
        </w:tc>
        <w:tc>
          <w:tcPr>
            <w:tcW w:w="1464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科目名称</w:t>
            </w:r>
          </w:p>
        </w:tc>
        <w:tc>
          <w:tcPr>
            <w:tcW w:w="510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国有资本经营预算支出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42" w:type="dxa"/>
          <w:trHeight w:val="312" w:hRule="atLeast"/>
        </w:trPr>
        <w:tc>
          <w:tcPr>
            <w:tcW w:w="208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464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合计</w:t>
            </w:r>
          </w:p>
        </w:tc>
        <w:tc>
          <w:tcPr>
            <w:tcW w:w="170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基本支出</w:t>
            </w:r>
          </w:p>
        </w:tc>
        <w:tc>
          <w:tcPr>
            <w:tcW w:w="155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  <w:t>项目支出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42" w:type="dxa"/>
          <w:trHeight w:val="312" w:hRule="atLeast"/>
        </w:trPr>
        <w:tc>
          <w:tcPr>
            <w:tcW w:w="208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464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84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70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155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42" w:type="dxa"/>
          <w:trHeight w:val="570" w:hRule="atLeast"/>
        </w:trPr>
        <w:tc>
          <w:tcPr>
            <w:tcW w:w="208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>
      <w:pPr>
        <w:pStyle w:val="5"/>
        <w:adjustRightInd w:val="0"/>
        <w:snapToGrid w:val="0"/>
        <w:spacing w:before="0" w:beforeAutospacing="0" w:after="0" w:afterAutospacing="0" w:line="360" w:lineRule="auto"/>
        <w:ind w:right="40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</w:rPr>
        <w:t>注：</w:t>
      </w:r>
      <w:r>
        <w:rPr>
          <w:rFonts w:hint="eastAsia" w:ascii="Times New Roman" w:hAnsi="Times New Roman" w:cs="Times New Roman"/>
          <w:lang w:eastAsia="zh-CN"/>
        </w:rPr>
        <w:t>农工党亳州市委会</w:t>
      </w:r>
      <w:r>
        <w:rPr>
          <w:rFonts w:ascii="Times New Roman" w:hAnsi="Times New Roman" w:cs="Times New Roman"/>
        </w:rPr>
        <w:t>没有国有资本经营预算拨款收入，也没有国有资本经营预算拨款安排的支出，故本表无数据。</w:t>
      </w: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  <w:sectPr>
          <w:pgSz w:w="11906" w:h="16838"/>
          <w:pgMar w:top="1440" w:right="1797" w:bottom="1440" w:left="179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tbl>
      <w:tblPr>
        <w:tblStyle w:val="6"/>
        <w:tblW w:w="5101" w:type="pct"/>
        <w:tblInd w:w="-30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4"/>
        <w:gridCol w:w="1545"/>
        <w:gridCol w:w="3255"/>
        <w:gridCol w:w="955"/>
        <w:gridCol w:w="955"/>
        <w:gridCol w:w="1057"/>
        <w:gridCol w:w="991"/>
        <w:gridCol w:w="833"/>
        <w:gridCol w:w="660"/>
        <w:gridCol w:w="1142"/>
        <w:gridCol w:w="129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宋体" w:hAnsi="宋体" w:eastAsia="宋体" w:cs="Arial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部门（单位）公开表9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46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农工党亳州市委会2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023年项目支出表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部门（单位）名称：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="Times New Roman" w:hAnsi="Times New Roman"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类型</w:t>
            </w:r>
          </w:p>
        </w:tc>
        <w:tc>
          <w:tcPr>
            <w:tcW w:w="15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2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项目单位</w:t>
            </w:r>
          </w:p>
        </w:tc>
        <w:tc>
          <w:tcPr>
            <w:tcW w:w="955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总计</w:t>
            </w:r>
          </w:p>
        </w:tc>
        <w:tc>
          <w:tcPr>
            <w:tcW w:w="300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本年财政拨款</w:t>
            </w:r>
          </w:p>
        </w:tc>
        <w:tc>
          <w:tcPr>
            <w:tcW w:w="8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财政专户管理</w:t>
            </w:r>
          </w:p>
        </w:tc>
        <w:tc>
          <w:tcPr>
            <w:tcW w:w="6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单位资金</w:t>
            </w:r>
          </w:p>
        </w:tc>
        <w:tc>
          <w:tcPr>
            <w:tcW w:w="11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提前下达一般公共预算</w:t>
            </w:r>
          </w:p>
        </w:tc>
        <w:tc>
          <w:tcPr>
            <w:tcW w:w="12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提前下达政府性基金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5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2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55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一般公共预算</w:t>
            </w:r>
          </w:p>
        </w:tc>
        <w:tc>
          <w:tcPr>
            <w:tcW w:w="10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政府性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基金预算</w:t>
            </w: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国有资本经营预算</w:t>
            </w:r>
          </w:p>
        </w:tc>
        <w:tc>
          <w:tcPr>
            <w:tcW w:w="8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9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15.75</w:t>
            </w:r>
          </w:p>
        </w:tc>
        <w:tc>
          <w:tcPr>
            <w:tcW w:w="9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15.75</w:t>
            </w:r>
          </w:p>
        </w:tc>
        <w:tc>
          <w:tcPr>
            <w:tcW w:w="10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16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中国农工民主党亳州市委员会</w:t>
            </w:r>
          </w:p>
        </w:tc>
        <w:tc>
          <w:tcPr>
            <w:tcW w:w="9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15.75</w:t>
            </w:r>
          </w:p>
        </w:tc>
        <w:tc>
          <w:tcPr>
            <w:tcW w:w="9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15.75</w:t>
            </w:r>
          </w:p>
        </w:tc>
        <w:tc>
          <w:tcPr>
            <w:tcW w:w="10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部门运转类项目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民主监督</w:t>
            </w:r>
          </w:p>
        </w:tc>
        <w:tc>
          <w:tcPr>
            <w:tcW w:w="32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中国农工民主党亳州市委员会</w:t>
            </w:r>
          </w:p>
        </w:tc>
        <w:tc>
          <w:tcPr>
            <w:tcW w:w="9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3.40</w:t>
            </w:r>
          </w:p>
        </w:tc>
        <w:tc>
          <w:tcPr>
            <w:tcW w:w="9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3.40</w:t>
            </w:r>
          </w:p>
        </w:tc>
        <w:tc>
          <w:tcPr>
            <w:tcW w:w="10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部门运转类项目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23年代理记账费用</w:t>
            </w:r>
          </w:p>
        </w:tc>
        <w:tc>
          <w:tcPr>
            <w:tcW w:w="32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中国农工民主党亳州市委员会</w:t>
            </w:r>
          </w:p>
        </w:tc>
        <w:tc>
          <w:tcPr>
            <w:tcW w:w="9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</w:t>
            </w:r>
          </w:p>
        </w:tc>
        <w:tc>
          <w:tcPr>
            <w:tcW w:w="9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1.00</w:t>
            </w:r>
          </w:p>
        </w:tc>
        <w:tc>
          <w:tcPr>
            <w:tcW w:w="10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部门运转类项目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视察调研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中国农工民主党亳州市委员会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部门运转类项目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党员活动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中国农工民主党亳州市委员会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部门运转类项目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党员培训费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中国农工民主党亳州市委员会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2.00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部门运转类项目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缴纳残疾人就业保障金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中国农工民主党亳州市委员会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部门运转类项目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参政议政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中国农工民主党亳州市委员会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5.00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5.00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宋体" w:hAnsi="宋体" w:eastAsia="宋体" w:cs="Arial"/>
                <w:color w:val="000000"/>
                <w:kern w:val="0"/>
                <w:sz w:val="21"/>
                <w:szCs w:val="21"/>
              </w:rPr>
            </w:pPr>
          </w:p>
        </w:tc>
      </w:tr>
    </w:tbl>
    <w:p>
      <w:pPr>
        <w:rPr>
          <w:rFonts w:ascii="Times New Roman" w:hAnsi="Times New Roman" w:cs="Times New Roman"/>
          <w:color w:val="000000"/>
          <w:kern w:val="0"/>
          <w:sz w:val="22"/>
        </w:rPr>
      </w:pPr>
    </w:p>
    <w:p>
      <w:pPr>
        <w:rPr>
          <w:rFonts w:ascii="Times New Roman" w:hAnsi="Times New Roman" w:cs="Times New Roman"/>
          <w:color w:val="000000"/>
          <w:kern w:val="0"/>
          <w:sz w:val="22"/>
        </w:rPr>
      </w:pPr>
    </w:p>
    <w:p>
      <w:pPr>
        <w:rPr>
          <w:rFonts w:ascii="Times New Roman" w:hAnsi="Times New Roman" w:cs="Times New Roman"/>
          <w:color w:val="000000"/>
          <w:kern w:val="0"/>
          <w:sz w:val="22"/>
        </w:rPr>
        <w:sectPr>
          <w:pgSz w:w="16838" w:h="11906" w:orient="landscape"/>
          <w:pgMar w:top="1797" w:right="1440" w:bottom="1797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AndChars" w:linePitch="312" w:charSpace="0"/>
        </w:sectPr>
      </w:pPr>
    </w:p>
    <w:tbl>
      <w:tblPr>
        <w:tblStyle w:val="6"/>
        <w:tblW w:w="498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7"/>
        <w:gridCol w:w="1211"/>
        <w:gridCol w:w="1180"/>
        <w:gridCol w:w="1180"/>
        <w:gridCol w:w="899"/>
        <w:gridCol w:w="993"/>
        <w:gridCol w:w="990"/>
        <w:gridCol w:w="1055"/>
        <w:gridCol w:w="577"/>
        <w:gridCol w:w="577"/>
        <w:gridCol w:w="577"/>
        <w:gridCol w:w="577"/>
        <w:gridCol w:w="583"/>
        <w:gridCol w:w="597"/>
        <w:gridCol w:w="987"/>
        <w:gridCol w:w="9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0"/>
                <w:szCs w:val="20"/>
                <w:lang w:eastAsia="zh-CN"/>
              </w:rPr>
              <w:t>单位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20"/>
                <w:szCs w:val="20"/>
              </w:rPr>
              <w:t>公开表10</w:t>
            </w: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</w:rPr>
              <w:t>表十、</w:t>
            </w:r>
            <w:bookmarkStart w:id="0" w:name="_GoBack"/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eastAsia="zh-CN"/>
              </w:rPr>
              <w:t>农工党亳州市委会</w:t>
            </w:r>
            <w:bookmarkEnd w:id="0"/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</w:rPr>
              <w:t>202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val="en-US" w:eastAsia="zh-CN"/>
              </w:rPr>
              <w:t>3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</w:rPr>
              <w:t>年部门政府采购支出预算表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8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宋体" w:cs="Calibri"/>
                <w:color w:val="000000"/>
                <w:kern w:val="0"/>
                <w:sz w:val="22"/>
              </w:rPr>
            </w:pPr>
            <w:r>
              <w:rPr>
                <w:rFonts w:ascii="Calibri" w:hAnsi="Calibri" w:eastAsia="宋体" w:cs="Calibri"/>
                <w:color w:val="000000"/>
                <w:kern w:val="0"/>
                <w:sz w:val="22"/>
              </w:rPr>
              <w:t>单位：万元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1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单位编码</w:t>
            </w:r>
          </w:p>
        </w:tc>
        <w:tc>
          <w:tcPr>
            <w:tcW w:w="4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单位、采购项目名称</w:t>
            </w:r>
          </w:p>
        </w:tc>
        <w:tc>
          <w:tcPr>
            <w:tcW w:w="41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采购品目</w:t>
            </w:r>
          </w:p>
        </w:tc>
        <w:tc>
          <w:tcPr>
            <w:tcW w:w="41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采购数量</w:t>
            </w:r>
          </w:p>
        </w:tc>
        <w:tc>
          <w:tcPr>
            <w:tcW w:w="31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35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一般公共预算收入</w:t>
            </w:r>
          </w:p>
        </w:tc>
        <w:tc>
          <w:tcPr>
            <w:tcW w:w="35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政府性基金收入</w:t>
            </w:r>
          </w:p>
        </w:tc>
        <w:tc>
          <w:tcPr>
            <w:tcW w:w="37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财政专户管理资金收入</w:t>
            </w:r>
          </w:p>
        </w:tc>
        <w:tc>
          <w:tcPr>
            <w:tcW w:w="1232" w:type="pct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单位资金</w:t>
            </w:r>
          </w:p>
        </w:tc>
        <w:tc>
          <w:tcPr>
            <w:tcW w:w="34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上级转移支付（提前下达一般公共预算)</w:t>
            </w:r>
          </w:p>
        </w:tc>
        <w:tc>
          <w:tcPr>
            <w:tcW w:w="3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上级转移支付(提前下达政府性基金)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1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1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1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单位资金小计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事业收入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经营收入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上级补助收入</w:t>
            </w:r>
          </w:p>
        </w:tc>
        <w:tc>
          <w:tcPr>
            <w:tcW w:w="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附属单位上缴收入</w:t>
            </w:r>
          </w:p>
        </w:tc>
        <w:tc>
          <w:tcPr>
            <w:tcW w:w="21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其他</w:t>
            </w:r>
          </w:p>
        </w:tc>
        <w:tc>
          <w:tcPr>
            <w:tcW w:w="34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4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2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1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7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1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4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2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1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7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1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4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2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1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7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1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4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2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1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1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7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1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4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5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>
      <w:pPr>
        <w:pStyle w:val="5"/>
        <w:adjustRightInd w:val="0"/>
        <w:snapToGrid w:val="0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</w:p>
    <w:p>
      <w:pPr>
        <w:pStyle w:val="5"/>
        <w:adjustRightInd w:val="0"/>
        <w:snapToGrid w:val="0"/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注：</w:t>
      </w:r>
      <w:r>
        <w:rPr>
          <w:rFonts w:hint="eastAsia" w:ascii="Times New Roman" w:hAnsi="Times New Roman" w:cs="Times New Roman"/>
          <w:lang w:eastAsia="zh-CN"/>
        </w:rPr>
        <w:t>农工党亳州市委会</w:t>
      </w:r>
      <w:r>
        <w:rPr>
          <w:rFonts w:ascii="Times New Roman" w:hAnsi="Times New Roman" w:cs="Times New Roman"/>
        </w:rPr>
        <w:t>没有政府采购预算支出，故本表无数据。</w:t>
      </w:r>
    </w:p>
    <w:p>
      <w:pPr>
        <w:rPr>
          <w:rFonts w:ascii="Times New Roman" w:hAnsi="Times New Roman" w:cs="Times New Roman"/>
        </w:rPr>
        <w:sectPr>
          <w:pgSz w:w="16838" w:h="11906" w:orient="landscape"/>
          <w:pgMar w:top="1797" w:right="1440" w:bottom="1797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tbl>
      <w:tblPr>
        <w:tblStyle w:val="6"/>
        <w:tblW w:w="13642" w:type="dxa"/>
        <w:tblInd w:w="39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2508"/>
        <w:gridCol w:w="2507"/>
        <w:gridCol w:w="2507"/>
        <w:gridCol w:w="2507"/>
        <w:gridCol w:w="214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3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0"/>
                <w:szCs w:val="20"/>
                <w:lang w:eastAsia="zh-CN"/>
              </w:rPr>
              <w:t>单位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20"/>
                <w:szCs w:val="20"/>
              </w:rPr>
              <w:t>公开表11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3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eastAsia="zh-CN"/>
              </w:rPr>
              <w:t>农工党亳州市委会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</w:rPr>
              <w:t>202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  <w:lang w:val="en-US" w:eastAsia="zh-CN"/>
              </w:rPr>
              <w:t>3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44"/>
                <w:szCs w:val="44"/>
              </w:rPr>
              <w:t>年政府购买服务支出表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3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color w:val="000000"/>
                <w:kern w:val="0"/>
                <w:sz w:val="24"/>
                <w:szCs w:val="24"/>
              </w:rPr>
              <w:t>单位：万元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</w:trPr>
        <w:tc>
          <w:tcPr>
            <w:tcW w:w="1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单位编码</w:t>
            </w:r>
          </w:p>
        </w:tc>
        <w:tc>
          <w:tcPr>
            <w:tcW w:w="250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部门名称</w:t>
            </w:r>
          </w:p>
        </w:tc>
        <w:tc>
          <w:tcPr>
            <w:tcW w:w="250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购买服务项目名称</w:t>
            </w:r>
          </w:p>
        </w:tc>
        <w:tc>
          <w:tcPr>
            <w:tcW w:w="250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向社会力量购买</w:t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服务指导目录</w:t>
            </w:r>
          </w:p>
        </w:tc>
        <w:tc>
          <w:tcPr>
            <w:tcW w:w="250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政府购买服务内容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  <w:t>服务金额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4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4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4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4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4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4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Arial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pStyle w:val="5"/>
        <w:adjustRightInd w:val="0"/>
        <w:snapToGrid w:val="0"/>
        <w:spacing w:before="0" w:beforeAutospacing="0" w:after="0" w:afterAutospacing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注：</w:t>
      </w:r>
      <w:r>
        <w:rPr>
          <w:rFonts w:hint="eastAsia" w:ascii="Times New Roman" w:hAnsi="Times New Roman" w:cs="Times New Roman"/>
          <w:lang w:eastAsia="zh-CN"/>
        </w:rPr>
        <w:t>农工党亳州市委会</w:t>
      </w:r>
      <w:r>
        <w:rPr>
          <w:rFonts w:ascii="Times New Roman" w:hAnsi="Times New Roman" w:cs="Times New Roman"/>
        </w:rPr>
        <w:t>没有政府购买服务预算支出，故本表无数据。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jc w:val="center"/>
        <w:rPr>
          <w:rFonts w:ascii="Times New Roman" w:hAnsi="Times New Roman" w:eastAsia="黑体" w:cs="Times New Roman"/>
          <w:bCs/>
          <w:sz w:val="36"/>
          <w:szCs w:val="36"/>
        </w:rPr>
      </w:pPr>
    </w:p>
    <w:p>
      <w:pPr>
        <w:pStyle w:val="5"/>
        <w:adjustRightInd w:val="0"/>
        <w:snapToGrid w:val="0"/>
        <w:spacing w:before="240" w:beforeAutospacing="0" w:after="0" w:afterAutospacing="0" w:line="600" w:lineRule="exact"/>
        <w:jc w:val="center"/>
        <w:rPr>
          <w:rFonts w:ascii="Times New Roman" w:hAnsi="Times New Roman" w:eastAsia="黑体" w:cs="Times New Roman"/>
          <w:bCs/>
          <w:sz w:val="36"/>
          <w:szCs w:val="36"/>
        </w:rPr>
        <w:sectPr>
          <w:pgSz w:w="16838" w:h="11906" w:orient="landscape"/>
          <w:pgMar w:top="1797" w:right="1440" w:bottom="1797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AndChars" w:linePitch="312" w:charSpace="0"/>
        </w:sectPr>
      </w:pPr>
    </w:p>
    <w:p>
      <w:pPr>
        <w:pStyle w:val="5"/>
        <w:adjustRightInd w:val="0"/>
        <w:snapToGrid w:val="0"/>
        <w:spacing w:before="0" w:beforeAutospacing="0" w:after="0" w:afterAutospacing="0" w:line="600" w:lineRule="exact"/>
        <w:jc w:val="center"/>
        <w:rPr>
          <w:rFonts w:ascii="黑体" w:hAnsi="黑体" w:eastAsia="黑体"/>
          <w:bCs/>
          <w:color w:val="auto"/>
          <w:sz w:val="36"/>
          <w:szCs w:val="36"/>
        </w:rPr>
      </w:pPr>
      <w:r>
        <w:rPr>
          <w:rFonts w:hint="eastAsia" w:ascii="黑体" w:hAnsi="黑体" w:eastAsia="黑体"/>
          <w:bCs/>
          <w:color w:val="auto"/>
          <w:sz w:val="36"/>
          <w:szCs w:val="36"/>
        </w:rPr>
        <w:t xml:space="preserve">第三部分 </w:t>
      </w:r>
      <w:r>
        <w:rPr>
          <w:rFonts w:hint="eastAsia" w:ascii="黑体" w:hAnsi="黑体" w:eastAsia="黑体"/>
          <w:bCs/>
          <w:color w:val="auto"/>
          <w:sz w:val="36"/>
          <w:szCs w:val="36"/>
          <w:lang w:eastAsia="zh-CN"/>
        </w:rPr>
        <w:t>2022</w:t>
      </w:r>
      <w:r>
        <w:rPr>
          <w:rFonts w:hint="eastAsia" w:ascii="黑体" w:hAnsi="黑体" w:eastAsia="黑体"/>
          <w:bCs/>
          <w:color w:val="auto"/>
          <w:sz w:val="36"/>
          <w:szCs w:val="36"/>
        </w:rPr>
        <w:t>年</w:t>
      </w:r>
      <w:r>
        <w:rPr>
          <w:rFonts w:hint="eastAsia" w:ascii="黑体" w:hAnsi="黑体" w:eastAsia="黑体"/>
          <w:bCs/>
          <w:color w:val="auto"/>
          <w:sz w:val="36"/>
          <w:szCs w:val="36"/>
          <w:lang w:eastAsia="zh-CN"/>
        </w:rPr>
        <w:t>单位</w:t>
      </w:r>
      <w:r>
        <w:rPr>
          <w:rFonts w:hint="eastAsia" w:ascii="黑体" w:hAnsi="黑体" w:eastAsia="黑体"/>
          <w:bCs/>
          <w:color w:val="auto"/>
          <w:sz w:val="36"/>
          <w:szCs w:val="36"/>
        </w:rPr>
        <w:t>预算情况说明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ascii="黑体" w:hAnsi="仿宋" w:eastAsia="黑体"/>
          <w:color w:val="auto"/>
          <w:sz w:val="32"/>
          <w:szCs w:val="32"/>
        </w:rPr>
      </w:pPr>
      <w:r>
        <w:rPr>
          <w:rFonts w:hint="eastAsia" w:ascii="黑体" w:hAnsi="仿宋" w:eastAsia="黑体"/>
          <w:color w:val="auto"/>
          <w:sz w:val="32"/>
          <w:szCs w:val="32"/>
        </w:rPr>
        <w:t>一、关于</w:t>
      </w:r>
      <w:r>
        <w:rPr>
          <w:rFonts w:hint="eastAsia" w:ascii="黑体" w:hAnsi="仿宋" w:eastAsia="黑体"/>
          <w:color w:val="auto"/>
          <w:sz w:val="32"/>
          <w:szCs w:val="32"/>
          <w:lang w:eastAsia="zh-CN"/>
        </w:rPr>
        <w:t>2022</w:t>
      </w:r>
      <w:r>
        <w:rPr>
          <w:rFonts w:hint="eastAsia" w:ascii="黑体" w:hAnsi="仿宋" w:eastAsia="黑体"/>
          <w:color w:val="auto"/>
          <w:sz w:val="32"/>
          <w:szCs w:val="32"/>
        </w:rPr>
        <w:t>年收支总表的说明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仿宋_GB2312" w:hAnsi="仿宋" w:eastAsia="仿宋_GB2312" w:cstheme="minorBidi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theme="minorBidi"/>
          <w:color w:val="auto"/>
          <w:kern w:val="2"/>
          <w:sz w:val="32"/>
          <w:szCs w:val="32"/>
          <w:lang w:val="en-US" w:eastAsia="zh-CN" w:bidi="ar-SA"/>
        </w:rPr>
        <w:t>按照综合预算的原则，农工党亳州市委会所有收入和支出均纳入单位预算管理。农工党亳州市委会2023年收支总预算83.43万元，一般公共预算拨款收入83.42，上年结转结余0.01万元，支出按功能分类分为：一般公共服务支出65.38万元，占78.37%；社会保障和就业支出10.13万元，占12.14%；卫生健康支出1.81万元，占2.17%；住房保障支出6.11万元，占7.32%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27" w:firstLineChars="196"/>
        <w:rPr>
          <w:rFonts w:hint="eastAsia" w:ascii="仿宋_GB2312" w:hAnsi="仿宋" w:eastAsia="仿宋_GB2312" w:cstheme="minorBidi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仿宋" w:eastAsia="黑体"/>
          <w:color w:val="auto"/>
          <w:sz w:val="32"/>
          <w:szCs w:val="32"/>
          <w:lang w:val="en-US" w:eastAsia="zh-CN"/>
        </w:rPr>
        <w:t>二、关于2023年收入总表的说明</w: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" w:eastAsia="仿宋_GB2312" w:cstheme="minorBidi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theme="minorBidi"/>
          <w:color w:val="auto"/>
          <w:kern w:val="2"/>
          <w:sz w:val="32"/>
          <w:szCs w:val="32"/>
          <w:lang w:val="en-US" w:eastAsia="zh-CN" w:bidi="ar-SA"/>
        </w:rPr>
        <w:t>农工党亳州市委会2023年收入预算83.43万元，其中，本年收入83.42万元，上年结转结余0.01万元。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 w:cstheme="minorBidi"/>
          <w:color w:val="auto"/>
          <w:kern w:val="2"/>
          <w:sz w:val="32"/>
          <w:szCs w:val="32"/>
          <w:lang w:val="en-US" w:eastAsia="zh-CN" w:bidi="ar-SA"/>
        </w:rPr>
        <w:t>本年收入83.43万元，主要包括：一般公共预算拨款收入83.42万元，占99.99%，上年结转结余0.01万元,占0.01%比2022年预算增加30.77万元，增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长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58.43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%，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增长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原因主要是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：一、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2022年单位新调入人员；二、工资、住房公积金调整。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黑体" w:hAnsi="仿宋" w:eastAsia="黑体" w:cs="宋体"/>
          <w:color w:val="auto"/>
          <w:kern w:val="0"/>
          <w:sz w:val="32"/>
          <w:szCs w:val="32"/>
        </w:rPr>
      </w:pPr>
      <w:r>
        <w:rPr>
          <w:rFonts w:hint="eastAsia" w:ascii="黑体" w:hAnsi="仿宋" w:eastAsia="黑体" w:cs="宋体"/>
          <w:color w:val="auto"/>
          <w:kern w:val="0"/>
          <w:sz w:val="32"/>
          <w:szCs w:val="32"/>
        </w:rPr>
        <w:t>三、关于</w:t>
      </w:r>
      <w:r>
        <w:rPr>
          <w:rFonts w:hint="eastAsia" w:ascii="黑体" w:hAnsi="仿宋" w:eastAsia="黑体" w:cs="宋体"/>
          <w:color w:val="auto"/>
          <w:kern w:val="0"/>
          <w:sz w:val="32"/>
          <w:szCs w:val="32"/>
          <w:lang w:eastAsia="zh-CN"/>
        </w:rPr>
        <w:t>2022</w:t>
      </w:r>
      <w:r>
        <w:rPr>
          <w:rFonts w:hint="eastAsia" w:ascii="黑体" w:hAnsi="仿宋" w:eastAsia="黑体" w:cs="宋体"/>
          <w:color w:val="auto"/>
          <w:kern w:val="0"/>
          <w:sz w:val="32"/>
          <w:szCs w:val="32"/>
        </w:rPr>
        <w:t>年支出总表的说明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" w:eastAsia="仿宋_GB2312" w:cs="Times New Roman"/>
          <w:color w:val="auto"/>
          <w:sz w:val="32"/>
          <w:szCs w:val="32"/>
        </w:rPr>
      </w:pPr>
      <w:r>
        <w:rPr>
          <w:rFonts w:hint="eastAsia" w:ascii="仿宋_GB2312" w:hAnsi="仿宋" w:eastAsia="仿宋_GB2312" w:cs="Times New Roman"/>
          <w:color w:val="auto"/>
          <w:sz w:val="32"/>
          <w:szCs w:val="32"/>
          <w:lang w:eastAsia="zh-CN"/>
        </w:rPr>
        <w:t>农工党亳州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市委会202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年支出预算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83.43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万元，比202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年预算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增加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30.77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，增长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58.43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%，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增长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原因主要是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：一、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2022年单位新调入人员；二、工资、住房公积金调整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。其中，基本支出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67.68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万元，占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81</w:t>
      </w:r>
      <w:r>
        <w:rPr>
          <w:rFonts w:hint="eastAsia" w:ascii="仿宋_GB2312" w:hAnsi="仿宋" w:eastAsia="仿宋_GB2312" w:cs="Times New Roman"/>
          <w:color w:val="auto"/>
          <w:sz w:val="32"/>
          <w:szCs w:val="32"/>
          <w:lang w:val="en-US" w:eastAsia="zh-CN"/>
        </w:rPr>
        <w:t>.12</w:t>
      </w:r>
      <w:r>
        <w:rPr>
          <w:rFonts w:hint="eastAsia" w:ascii="仿宋_GB2312" w:hAnsi="仿宋" w:eastAsia="仿宋_GB2312" w:cs="Times New Roman"/>
          <w:color w:val="auto"/>
          <w:sz w:val="32"/>
          <w:szCs w:val="32"/>
        </w:rPr>
        <w:t>%，主要用于保障机构日常运转、完成日常工作任务等；项目支出</w:t>
      </w:r>
      <w:r>
        <w:rPr>
          <w:rFonts w:hint="eastAsia" w:ascii="仿宋_GB2312" w:hAnsi="仿宋" w:eastAsia="仿宋_GB2312" w:cs="Times New Roman"/>
          <w:color w:val="auto"/>
          <w:sz w:val="32"/>
          <w:szCs w:val="32"/>
          <w:lang w:val="en-US" w:eastAsia="zh-CN"/>
        </w:rPr>
        <w:t>15.75</w:t>
      </w:r>
      <w:r>
        <w:rPr>
          <w:rFonts w:hint="eastAsia" w:ascii="仿宋_GB2312" w:hAnsi="仿宋" w:eastAsia="仿宋_GB2312" w:cs="Times New Roman"/>
          <w:color w:val="auto"/>
          <w:sz w:val="32"/>
          <w:szCs w:val="32"/>
        </w:rPr>
        <w:t>万元，占</w:t>
      </w:r>
      <w:r>
        <w:rPr>
          <w:rFonts w:hint="eastAsia" w:ascii="仿宋_GB2312" w:hAnsi="仿宋" w:eastAsia="仿宋_GB2312" w:cs="Times New Roman"/>
          <w:color w:val="auto"/>
          <w:sz w:val="32"/>
          <w:szCs w:val="32"/>
          <w:lang w:val="en-US" w:eastAsia="zh-CN"/>
        </w:rPr>
        <w:t>18.88</w:t>
      </w:r>
      <w:r>
        <w:rPr>
          <w:rFonts w:hint="eastAsia" w:ascii="仿宋_GB2312" w:hAnsi="仿宋" w:eastAsia="仿宋_GB2312" w:cs="Times New Roman"/>
          <w:color w:val="auto"/>
          <w:sz w:val="32"/>
          <w:szCs w:val="32"/>
        </w:rPr>
        <w:t>%，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</w:rPr>
        <w:t>主要用于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参政议政、视察调研、党员活动经费、民主监督工作经费、党员培训费、代理记账费用、缴纳残疾人就业保障金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</w:rPr>
        <w:t>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黑体" w:hAnsi="仿宋" w:eastAsia="黑体" w:cs="宋体"/>
          <w:color w:val="auto"/>
          <w:kern w:val="0"/>
          <w:sz w:val="32"/>
          <w:szCs w:val="32"/>
        </w:rPr>
      </w:pPr>
      <w:r>
        <w:rPr>
          <w:rFonts w:hint="eastAsia" w:ascii="黑体" w:hAnsi="仿宋" w:eastAsia="黑体" w:cs="宋体"/>
          <w:color w:val="auto"/>
          <w:kern w:val="0"/>
          <w:sz w:val="32"/>
          <w:szCs w:val="32"/>
        </w:rPr>
        <w:t>四、关于</w:t>
      </w:r>
      <w:r>
        <w:rPr>
          <w:rFonts w:hint="eastAsia" w:ascii="黑体" w:hAnsi="仿宋" w:eastAsia="黑体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ascii="黑体" w:hAnsi="仿宋" w:eastAsia="黑体" w:cs="宋体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黑体" w:hAnsi="仿宋" w:eastAsia="黑体" w:cs="宋体"/>
          <w:color w:val="auto"/>
          <w:kern w:val="0"/>
          <w:sz w:val="32"/>
          <w:szCs w:val="32"/>
        </w:rPr>
        <w:t>年财政拨款收支总表的说明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</w:pPr>
      <w:r>
        <w:rPr>
          <w:rFonts w:hint="eastAsia" w:ascii="仿宋_GB2312" w:hAnsi="仿宋" w:eastAsia="仿宋_GB2312" w:cs="Times New Roman"/>
          <w:color w:val="auto"/>
          <w:kern w:val="2"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 w:cs="Times New Roman"/>
          <w:color w:val="auto"/>
          <w:kern w:val="2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Times New Roman"/>
          <w:color w:val="auto"/>
          <w:kern w:val="2"/>
          <w:sz w:val="32"/>
          <w:szCs w:val="32"/>
        </w:rPr>
        <w:t>年财政拨款收支预算</w:t>
      </w:r>
      <w:r>
        <w:rPr>
          <w:rFonts w:hint="eastAsia" w:ascii="仿宋_GB2312" w:hAnsi="仿宋" w:eastAsia="仿宋_GB2312" w:cs="Times New Roman"/>
          <w:color w:val="auto"/>
          <w:kern w:val="2"/>
          <w:sz w:val="32"/>
          <w:szCs w:val="32"/>
          <w:lang w:val="en-US" w:eastAsia="zh-CN"/>
        </w:rPr>
        <w:t>83.42</w:t>
      </w:r>
      <w:r>
        <w:rPr>
          <w:rFonts w:hint="eastAsia" w:ascii="仿宋_GB2312" w:hAnsi="仿宋" w:eastAsia="仿宋_GB2312" w:cs="Times New Roman"/>
          <w:color w:val="auto"/>
          <w:kern w:val="2"/>
          <w:sz w:val="32"/>
          <w:szCs w:val="32"/>
        </w:rPr>
        <w:t>万元。收入按资金来源</w:t>
      </w:r>
      <w:r>
        <w:rPr>
          <w:rFonts w:hint="eastAsia" w:ascii="仿宋_GB2312" w:hAnsi="仿宋" w:eastAsia="仿宋_GB2312" w:cs="Times New Roman"/>
          <w:color w:val="auto"/>
          <w:kern w:val="2"/>
          <w:sz w:val="32"/>
          <w:szCs w:val="32"/>
          <w:lang w:eastAsia="zh-CN"/>
        </w:rPr>
        <w:t>主要是</w:t>
      </w:r>
      <w:r>
        <w:rPr>
          <w:rFonts w:hint="eastAsia" w:ascii="仿宋_GB2312" w:hAnsi="仿宋" w:eastAsia="仿宋_GB2312" w:cs="Times New Roman"/>
          <w:color w:val="auto"/>
          <w:kern w:val="2"/>
          <w:sz w:val="32"/>
          <w:szCs w:val="32"/>
        </w:rPr>
        <w:t>一般公共预算拨款</w:t>
      </w:r>
      <w:r>
        <w:rPr>
          <w:rFonts w:hint="eastAsia" w:ascii="仿宋_GB2312" w:hAnsi="仿宋" w:eastAsia="仿宋_GB2312" w:cs="Times New Roman"/>
          <w:color w:val="auto"/>
          <w:kern w:val="2"/>
          <w:sz w:val="32"/>
          <w:szCs w:val="32"/>
          <w:lang w:eastAsia="zh-CN"/>
        </w:rPr>
        <w:t>。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支出按功能分类分为：一般公共服务支出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65.37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万元，占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78.36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%；社会保障和就业支出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10.13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万元，占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12.14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%；卫生健康支出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1.81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万元，占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2.17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%；住房保障支出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6.11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万元，占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7.32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%。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ascii="黑体" w:hAnsi="仿宋" w:eastAsia="黑体"/>
          <w:color w:val="auto"/>
          <w:sz w:val="32"/>
          <w:szCs w:val="32"/>
        </w:rPr>
      </w:pPr>
      <w:r>
        <w:rPr>
          <w:rFonts w:hint="eastAsia" w:ascii="黑体" w:hAnsi="仿宋" w:eastAsia="黑体"/>
          <w:color w:val="auto"/>
          <w:sz w:val="32"/>
          <w:szCs w:val="32"/>
        </w:rPr>
        <w:t>五、关于</w:t>
      </w:r>
      <w:r>
        <w:rPr>
          <w:rFonts w:hint="eastAsia" w:ascii="黑体" w:hAnsi="仿宋" w:eastAsia="黑体"/>
          <w:color w:val="auto"/>
          <w:sz w:val="32"/>
          <w:szCs w:val="32"/>
          <w:lang w:eastAsia="zh-CN"/>
        </w:rPr>
        <w:t>202</w:t>
      </w:r>
      <w:r>
        <w:rPr>
          <w:rFonts w:hint="eastAsia" w:ascii="黑体" w:hAnsi="仿宋" w:eastAsia="黑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仿宋" w:eastAsia="黑体"/>
          <w:color w:val="auto"/>
          <w:sz w:val="32"/>
          <w:szCs w:val="32"/>
        </w:rPr>
        <w:t>年一般公共预算支出表的说明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30" w:firstLineChars="196"/>
        <w:rPr>
          <w:rFonts w:ascii="楷体_GB2312" w:hAnsi="仿宋" w:eastAsia="楷体_GB2312" w:cs="Times New Roman"/>
          <w:b/>
          <w:color w:val="auto"/>
          <w:kern w:val="2"/>
          <w:sz w:val="32"/>
          <w:szCs w:val="32"/>
        </w:rPr>
      </w:pPr>
      <w:r>
        <w:rPr>
          <w:rFonts w:hint="eastAsia" w:ascii="楷体_GB2312" w:hAnsi="仿宋" w:eastAsia="楷体_GB2312" w:cs="Times New Roman"/>
          <w:b/>
          <w:color w:val="auto"/>
          <w:kern w:val="2"/>
          <w:sz w:val="32"/>
          <w:szCs w:val="32"/>
        </w:rPr>
        <w:t>（一）一般公共预算支出规模变化情况。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</w:rPr>
        <w:t>一般公共预算拨款收入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83.42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万元，占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99.99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%，比202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年预算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增加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30.76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，增长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58.41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%，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增长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原因主要是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：一、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2022年单位新调入人员；二、工资调整。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30" w:firstLineChars="196"/>
        <w:rPr>
          <w:rFonts w:ascii="楷体_GB2312" w:hAnsi="仿宋" w:eastAsia="楷体_GB2312" w:cs="Times New Roman"/>
          <w:b/>
          <w:color w:val="auto"/>
          <w:kern w:val="2"/>
          <w:sz w:val="32"/>
          <w:szCs w:val="32"/>
        </w:rPr>
      </w:pPr>
      <w:r>
        <w:rPr>
          <w:rFonts w:hint="eastAsia" w:ascii="楷体_GB2312" w:hAnsi="仿宋" w:eastAsia="楷体_GB2312" w:cs="Times New Roman"/>
          <w:b/>
          <w:color w:val="auto"/>
          <w:kern w:val="2"/>
          <w:sz w:val="32"/>
          <w:szCs w:val="32"/>
        </w:rPr>
        <w:t>（二</w:t>
      </w:r>
      <w:r>
        <w:rPr>
          <w:rFonts w:ascii="楷体_GB2312" w:hAnsi="仿宋" w:eastAsia="楷体_GB2312" w:cs="Times New Roman"/>
          <w:b/>
          <w:color w:val="auto"/>
          <w:kern w:val="2"/>
          <w:sz w:val="32"/>
          <w:szCs w:val="32"/>
        </w:rPr>
        <w:t>）</w:t>
      </w:r>
      <w:r>
        <w:rPr>
          <w:rFonts w:hint="eastAsia" w:ascii="楷体_GB2312" w:hAnsi="仿宋" w:eastAsia="楷体_GB2312" w:cs="Times New Roman"/>
          <w:b/>
          <w:color w:val="auto"/>
          <w:kern w:val="2"/>
          <w:sz w:val="32"/>
          <w:szCs w:val="32"/>
        </w:rPr>
        <w:t>一般公共预算支出结构情况。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eastAsia="zh-CN"/>
        </w:rPr>
      </w:pP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一般公共服务支出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65.37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万元，占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78.36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%；社会保障和就业支出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10.13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万元，占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12.14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%；卫生健康支出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1.81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万元，占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2.17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%；住房保障支出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6.11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万元，占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/>
        </w:rPr>
        <w:t>7.32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</w:rPr>
        <w:t>%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eastAsia="zh-CN"/>
        </w:rPr>
        <w:t>。</w:t>
      </w:r>
    </w:p>
    <w:p>
      <w:pPr>
        <w:adjustRightInd w:val="0"/>
        <w:snapToGrid w:val="0"/>
        <w:spacing w:line="600" w:lineRule="exact"/>
        <w:ind w:firstLine="643" w:firstLineChars="200"/>
        <w:rPr>
          <w:rFonts w:ascii="楷体_GB2312" w:hAnsi="仿宋" w:eastAsia="楷体_GB2312"/>
          <w:b/>
          <w:color w:val="auto"/>
          <w:sz w:val="32"/>
          <w:szCs w:val="32"/>
        </w:rPr>
      </w:pPr>
      <w:r>
        <w:rPr>
          <w:rFonts w:hint="eastAsia" w:ascii="楷体_GB2312" w:hAnsi="仿宋" w:eastAsia="楷体_GB2312"/>
          <w:b/>
          <w:color w:val="auto"/>
          <w:sz w:val="32"/>
          <w:szCs w:val="32"/>
        </w:rPr>
        <w:t>（三）一般公共预算支出具体使用情况。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1. 一般公共服务支出（类）民主党派及工商联事务（款）行政运行（项）。2023年预</w:t>
      </w:r>
      <w:r>
        <w:rPr>
          <w:rFonts w:hint="eastAsia" w:ascii="仿宋_GB2312" w:hAnsi="仿宋" w:eastAsia="仿宋_GB2312" w:cstheme="minorBidi"/>
          <w:color w:val="auto"/>
          <w:kern w:val="2"/>
          <w:sz w:val="32"/>
          <w:szCs w:val="32"/>
          <w:lang w:val="en-US" w:eastAsia="zh-CN" w:bidi="ar-SA"/>
        </w:rPr>
        <w:t>算49.97万元，比2022年预算增加32.17万元，增长180.73%，增长原因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主要是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：一是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2022年单位新调入人员；二是工资调整。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default" w:ascii="仿宋_GB2312" w:hAnsi="仿宋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2. 一般公共服务支出（类）民主党派及工商联事务（款）其他民主党派及工商联事务支出（项）。2023年预算15.4万元，与2022年相比增加5.4万元，增长54%，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增长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原因主要是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2023年将民主监督、代理记账费用、视察调研、党员活动、党员培训费、参政议政6个项目纳入该项支出，2022年仅包含民主监督项目。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3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. 社会保障和就业支出（类）行政事业单位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养老支出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（款）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机关事业单位基本养老保险缴费支出（项）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2023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年预算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6.52万元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，比20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22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年预算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增加2.63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万元，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增加67.61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%，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增长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原因主要是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：一是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2022年单位新调入人员；二是工资基数调整。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4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. 社会保障和就业支出（类）行政事业单位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养老支出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（款）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机关事业单位职业年金缴费支出（项）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2022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年预算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3.26万元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，比20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22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年预算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增加2.06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万元，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增加171.67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%，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增长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原因主要是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：一是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2022年单位新调入人员；二是工资调整。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8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. 社会保障和就业支出（类）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 xml:space="preserve"> 其他社会保障和就业支出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（款）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其他社会保障和就业支出（项）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2022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年预算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0.35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万元，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增加0.07，增加25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%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，增加171.67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%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。增加原因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是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2022年单位有新调入人员。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9.卫生健康支出（类）行政事业单位医疗（款） 行政单位医疗（项）。2023年预算1.72万元，比2022年预算增加0.62万元，增加56.36%，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增长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原因主要是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：一是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2022年单位新调入人员；二是工资调整。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10.卫生健康支出（类）行政事业单位医疗（款）公务员医疗补助（项）。2023年预算0.09万元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比2022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年预算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增加0.03，增加50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%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。增加原因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是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2022年单位有新调入人员。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12.住房保障支出（类）住房改革支出（款）住房公积金（项）。2023年预算4.89万元，比2022年预算增加2.23万元，增加116.37%，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一是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2022年单位新调入人员；二是工资调整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13</w:t>
      </w:r>
      <w:r>
        <w:rPr>
          <w:rFonts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-SA"/>
        </w:rPr>
        <w:t xml:space="preserve"> 住房保障支出（类）住房改革支出（款）提租补贴（项）。2023年预算1,22万元，比2022年预算增加0.77万元，增加171.11%，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增长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原因主要是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：一是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2022年单位新调入人员；二是工资调整。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ascii="黑体" w:eastAsia="黑体"/>
          <w:color w:val="auto"/>
        </w:rPr>
      </w:pPr>
      <w:r>
        <w:rPr>
          <w:rFonts w:hint="eastAsia" w:ascii="黑体" w:hAnsi="仿宋" w:eastAsia="黑体" w:cs="Times New Roman"/>
          <w:color w:val="auto"/>
          <w:kern w:val="2"/>
          <w:sz w:val="32"/>
          <w:szCs w:val="32"/>
        </w:rPr>
        <w:t>六、关于</w:t>
      </w:r>
      <w:r>
        <w:rPr>
          <w:rFonts w:hint="eastAsia" w:ascii="黑体" w:hAnsi="仿宋" w:eastAsia="黑体" w:cs="Times New Roman"/>
          <w:color w:val="auto"/>
          <w:kern w:val="2"/>
          <w:sz w:val="32"/>
          <w:szCs w:val="32"/>
          <w:lang w:eastAsia="zh-CN"/>
        </w:rPr>
        <w:t>202</w:t>
      </w:r>
      <w:r>
        <w:rPr>
          <w:rFonts w:hint="eastAsia" w:ascii="黑体" w:hAnsi="仿宋" w:eastAsia="黑体" w:cs="Times New Roman"/>
          <w:color w:val="auto"/>
          <w:kern w:val="2"/>
          <w:sz w:val="32"/>
          <w:szCs w:val="32"/>
          <w:lang w:val="en-US" w:eastAsia="zh-CN"/>
        </w:rPr>
        <w:t>3</w:t>
      </w:r>
      <w:r>
        <w:rPr>
          <w:rFonts w:hint="eastAsia" w:ascii="黑体" w:hAnsi="仿宋" w:eastAsia="黑体" w:cs="Times New Roman"/>
          <w:color w:val="auto"/>
          <w:kern w:val="2"/>
          <w:sz w:val="32"/>
          <w:szCs w:val="32"/>
        </w:rPr>
        <w:t>年一般公共预算基本支出表的说明</w:t>
      </w:r>
    </w:p>
    <w:p>
      <w:pPr>
        <w:ind w:firstLine="640" w:firstLineChars="200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年一般公共预算基本支出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67.67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万元，其中，人员经费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62.99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万元，公用经费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4.68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万元。</w:t>
      </w:r>
    </w:p>
    <w:p>
      <w:pPr>
        <w:ind w:firstLine="640" w:firstLineChars="200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</w:rPr>
        <w:t>（一）人员经费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62.99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万元，</w:t>
      </w:r>
      <w:r>
        <w:rPr>
          <w:rFonts w:ascii="Times New Roman" w:hAnsi="Times New Roman" w:eastAsia="仿宋" w:cs="Times New Roman"/>
          <w:color w:val="auto"/>
          <w:sz w:val="32"/>
          <w:szCs w:val="32"/>
        </w:rPr>
        <w:t>主要包括：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eastAsia="zh-CN"/>
        </w:rPr>
        <w:t>基</w:t>
      </w:r>
      <w:r>
        <w:rPr>
          <w:rFonts w:ascii="Times New Roman" w:hAnsi="Times New Roman" w:eastAsia="仿宋" w:cs="Times New Roman"/>
          <w:color w:val="auto"/>
          <w:sz w:val="32"/>
          <w:szCs w:val="32"/>
        </w:rPr>
        <w:t>本工资、津贴补贴、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eastAsia="zh-CN"/>
        </w:rPr>
        <w:t>奖金、</w:t>
      </w:r>
      <w:r>
        <w:rPr>
          <w:rFonts w:ascii="Times New Roman" w:hAnsi="Times New Roman" w:eastAsia="仿宋" w:cs="Times New Roman"/>
          <w:color w:val="auto"/>
          <w:sz w:val="32"/>
          <w:szCs w:val="32"/>
        </w:rPr>
        <w:t>机关事业单位基本养老保险缴费、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eastAsia="zh-CN"/>
        </w:rPr>
        <w:t>职业年金缴费、职工</w:t>
      </w:r>
      <w:r>
        <w:rPr>
          <w:rFonts w:ascii="Times New Roman" w:hAnsi="Times New Roman" w:eastAsia="仿宋" w:cs="Times New Roman"/>
          <w:color w:val="auto"/>
          <w:sz w:val="32"/>
          <w:szCs w:val="32"/>
        </w:rPr>
        <w:t>基本医疗保险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eastAsia="zh-CN"/>
        </w:rPr>
        <w:t>缴费</w:t>
      </w:r>
      <w:r>
        <w:rPr>
          <w:rFonts w:ascii="Times New Roman" w:hAnsi="Times New Roman" w:eastAsia="仿宋" w:cs="Times New Roman"/>
          <w:color w:val="auto"/>
          <w:sz w:val="32"/>
          <w:szCs w:val="32"/>
        </w:rPr>
        <w:t>、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eastAsia="zh-CN"/>
        </w:rPr>
        <w:t>公务员医疗补助缴费、其他社会保障缴费、住房公积金</w:t>
      </w:r>
      <w:r>
        <w:rPr>
          <w:rFonts w:ascii="Times New Roman" w:hAnsi="Times New Roman" w:eastAsia="仿宋" w:cs="Times New Roman"/>
          <w:color w:val="auto"/>
          <w:sz w:val="32"/>
          <w:szCs w:val="32"/>
        </w:rPr>
        <w:t>等。</w:t>
      </w:r>
    </w:p>
    <w:p>
      <w:pPr>
        <w:ind w:firstLine="640" w:firstLineChars="200"/>
        <w:rPr>
          <w:rFonts w:hint="eastAsia" w:ascii="楷体" w:hAnsi="楷体" w:eastAsia="楷体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</w:rPr>
        <w:t>（二）公用经费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4.68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万元，主要包括：</w:t>
      </w:r>
      <w:r>
        <w:rPr>
          <w:rFonts w:ascii="Times New Roman" w:hAnsi="Times New Roman" w:eastAsia="仿宋" w:cs="Times New Roman"/>
          <w:color w:val="auto"/>
          <w:sz w:val="32"/>
          <w:szCs w:val="32"/>
        </w:rPr>
        <w:t>办公费、会议费、其他交通费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eastAsia="zh-CN"/>
        </w:rPr>
        <w:t>用</w:t>
      </w:r>
      <w:r>
        <w:rPr>
          <w:rFonts w:ascii="Times New Roman" w:hAnsi="Times New Roman" w:eastAsia="仿宋" w:cs="Times New Roman"/>
          <w:color w:val="auto"/>
          <w:sz w:val="32"/>
          <w:szCs w:val="32"/>
        </w:rPr>
        <w:t>、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eastAsia="zh-CN"/>
        </w:rPr>
        <w:t>工会经费、公务接待费、伙食补助费、等</w:t>
      </w:r>
      <w:r>
        <w:rPr>
          <w:rFonts w:ascii="Times New Roman" w:hAnsi="Times New Roman" w:eastAsia="仿宋" w:cs="Times New Roman"/>
          <w:color w:val="auto"/>
          <w:sz w:val="32"/>
          <w:szCs w:val="32"/>
        </w:rPr>
        <w:t>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ascii="黑体" w:hAnsi="仿宋" w:eastAsia="黑体"/>
          <w:color w:val="auto"/>
          <w:sz w:val="32"/>
          <w:szCs w:val="32"/>
        </w:rPr>
      </w:pPr>
      <w:r>
        <w:rPr>
          <w:rFonts w:hint="eastAsia" w:ascii="黑体" w:hAnsi="仿宋" w:eastAsia="黑体"/>
          <w:color w:val="auto"/>
          <w:sz w:val="32"/>
          <w:szCs w:val="32"/>
        </w:rPr>
        <w:t>七、关于</w:t>
      </w:r>
      <w:r>
        <w:rPr>
          <w:rFonts w:hint="eastAsia" w:ascii="黑体" w:hAnsi="仿宋" w:eastAsia="黑体"/>
          <w:color w:val="auto"/>
          <w:sz w:val="32"/>
          <w:szCs w:val="32"/>
          <w:lang w:eastAsia="zh-CN"/>
        </w:rPr>
        <w:t>202</w:t>
      </w:r>
      <w:r>
        <w:rPr>
          <w:rFonts w:hint="eastAsia" w:ascii="黑体" w:hAnsi="仿宋" w:eastAsia="黑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仿宋" w:eastAsia="黑体"/>
          <w:color w:val="auto"/>
          <w:sz w:val="32"/>
          <w:szCs w:val="32"/>
        </w:rPr>
        <w:t>年政府性基金预算支出表的说明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年没有政府性基金预算拨款收入，也没有使用政府性基金预算拨款安排的支出。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ascii="黑体" w:hAnsi="仿宋" w:eastAsia="黑体"/>
          <w:color w:val="auto"/>
          <w:sz w:val="32"/>
          <w:szCs w:val="32"/>
        </w:rPr>
      </w:pPr>
      <w:r>
        <w:rPr>
          <w:rFonts w:hint="eastAsia" w:ascii="黑体" w:hAnsi="仿宋" w:eastAsia="黑体"/>
          <w:color w:val="auto"/>
          <w:sz w:val="32"/>
          <w:szCs w:val="32"/>
        </w:rPr>
        <w:t>八、关于</w:t>
      </w:r>
      <w:r>
        <w:rPr>
          <w:rFonts w:hint="eastAsia" w:ascii="黑体" w:hAnsi="仿宋" w:eastAsia="黑体"/>
          <w:color w:val="auto"/>
          <w:sz w:val="32"/>
          <w:szCs w:val="32"/>
          <w:lang w:eastAsia="zh-CN"/>
        </w:rPr>
        <w:t>202</w:t>
      </w:r>
      <w:r>
        <w:rPr>
          <w:rFonts w:hint="eastAsia" w:ascii="黑体" w:hAnsi="仿宋" w:eastAsia="黑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仿宋" w:eastAsia="黑体"/>
          <w:color w:val="auto"/>
          <w:sz w:val="32"/>
          <w:szCs w:val="32"/>
        </w:rPr>
        <w:t>年国有资本经营预算支出表的说明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年没有国有资本经营预算拨款收入，也没有使用国有资本经营预算拨款安排的支出。</w:t>
      </w:r>
    </w:p>
    <w:p>
      <w:pPr>
        <w:pStyle w:val="5"/>
        <w:numPr>
          <w:ilvl w:val="0"/>
          <w:numId w:val="1"/>
        </w:numPr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黑体" w:hAnsi="仿宋" w:eastAsia="黑体"/>
          <w:color w:val="auto"/>
          <w:sz w:val="32"/>
          <w:szCs w:val="32"/>
        </w:rPr>
      </w:pPr>
      <w:r>
        <w:rPr>
          <w:rFonts w:hint="eastAsia" w:ascii="黑体" w:hAnsi="仿宋" w:eastAsia="黑体"/>
          <w:color w:val="auto"/>
          <w:sz w:val="32"/>
          <w:szCs w:val="32"/>
        </w:rPr>
        <w:t>关于</w:t>
      </w:r>
      <w:r>
        <w:rPr>
          <w:rFonts w:hint="eastAsia" w:ascii="黑体" w:hAnsi="仿宋" w:eastAsia="黑体"/>
          <w:color w:val="auto"/>
          <w:sz w:val="32"/>
          <w:szCs w:val="32"/>
          <w:lang w:eastAsia="zh-CN"/>
        </w:rPr>
        <w:t>202</w:t>
      </w:r>
      <w:r>
        <w:rPr>
          <w:rFonts w:hint="eastAsia" w:ascii="黑体" w:hAnsi="仿宋" w:eastAsia="黑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仿宋" w:eastAsia="黑体"/>
          <w:color w:val="auto"/>
          <w:sz w:val="32"/>
          <w:szCs w:val="32"/>
        </w:rPr>
        <w:t>年项目支出表的说明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农工党亳州市委会</w:t>
      </w:r>
      <w:r>
        <w:rPr>
          <w:rFonts w:ascii="Times New Roman" w:hAnsi="Times New Roman" w:eastAsia="仿宋_GB2312" w:cs="Times New Roman"/>
          <w:sz w:val="32"/>
          <w:szCs w:val="32"/>
        </w:rPr>
        <w:t>2023年预算共安排项目支出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15.75</w:t>
      </w:r>
      <w:r>
        <w:rPr>
          <w:rFonts w:ascii="Times New Roman" w:hAnsi="Times New Roman" w:eastAsia="仿宋_GB2312" w:cs="Times New Roman"/>
          <w:sz w:val="32"/>
          <w:szCs w:val="32"/>
        </w:rPr>
        <w:t>万元，比2022年预算减少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8.53</w:t>
      </w:r>
      <w:r>
        <w:rPr>
          <w:rFonts w:ascii="Times New Roman" w:hAnsi="Times New Roman" w:eastAsia="仿宋_GB2312" w:cs="Times New Roman"/>
          <w:sz w:val="32"/>
          <w:szCs w:val="32"/>
        </w:rPr>
        <w:t>万元，下降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35.13</w:t>
      </w:r>
      <w:r>
        <w:rPr>
          <w:rFonts w:ascii="Times New Roman" w:hAnsi="Times New Roman" w:eastAsia="仿宋_GB2312" w:cs="Times New Roman"/>
          <w:sz w:val="32"/>
          <w:szCs w:val="32"/>
        </w:rPr>
        <w:t>%，下降原因主要是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民主监督经费减少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、财政帮扶资金取消</w:t>
      </w:r>
      <w:r>
        <w:rPr>
          <w:rFonts w:ascii="Times New Roman" w:hAnsi="Times New Roman" w:eastAsia="仿宋_GB2312" w:cs="Times New Roman"/>
          <w:sz w:val="32"/>
          <w:szCs w:val="32"/>
        </w:rPr>
        <w:t>。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全部为</w:t>
      </w:r>
      <w:r>
        <w:rPr>
          <w:rFonts w:ascii="Times New Roman" w:hAnsi="Times New Roman" w:eastAsia="仿宋_GB2312" w:cs="Times New Roman"/>
          <w:sz w:val="32"/>
          <w:szCs w:val="32"/>
        </w:rPr>
        <w:t>一般公共预算拨款安排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ascii="黑体" w:hAnsi="仿宋" w:eastAsia="黑体"/>
          <w:color w:val="auto"/>
          <w:sz w:val="32"/>
          <w:szCs w:val="32"/>
        </w:rPr>
      </w:pPr>
      <w:r>
        <w:rPr>
          <w:rFonts w:hint="eastAsia" w:ascii="黑体" w:hAnsi="仿宋" w:eastAsia="黑体"/>
          <w:color w:val="auto"/>
          <w:sz w:val="32"/>
          <w:szCs w:val="32"/>
        </w:rPr>
        <w:t>十、关于</w:t>
      </w:r>
      <w:r>
        <w:rPr>
          <w:rFonts w:hint="eastAsia" w:ascii="黑体" w:hAnsi="仿宋" w:eastAsia="黑体"/>
          <w:color w:val="auto"/>
          <w:sz w:val="32"/>
          <w:szCs w:val="32"/>
          <w:lang w:eastAsia="zh-CN"/>
        </w:rPr>
        <w:t>2022</w:t>
      </w:r>
      <w:r>
        <w:rPr>
          <w:rFonts w:hint="eastAsia" w:ascii="黑体" w:hAnsi="仿宋" w:eastAsia="黑体"/>
          <w:color w:val="auto"/>
          <w:sz w:val="32"/>
          <w:szCs w:val="32"/>
        </w:rPr>
        <w:t>年政府采购支出表的说明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outlineLvl w:val="0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年没有使用一般公共预算拨款、政府性基金预算拨款、国有资本经营预算拨款、财政专户管理资金和单位资金安排的政府采购支出。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rPr>
          <w:rFonts w:ascii="黑体" w:hAnsi="仿宋" w:eastAsia="黑体"/>
          <w:color w:val="auto"/>
          <w:sz w:val="32"/>
          <w:szCs w:val="32"/>
        </w:rPr>
      </w:pPr>
      <w:r>
        <w:rPr>
          <w:rFonts w:hint="eastAsia" w:ascii="黑体" w:hAnsi="仿宋" w:eastAsia="黑体"/>
          <w:color w:val="auto"/>
          <w:sz w:val="32"/>
          <w:szCs w:val="32"/>
        </w:rPr>
        <w:t>十一、关于</w:t>
      </w:r>
      <w:r>
        <w:rPr>
          <w:rFonts w:hint="eastAsia" w:ascii="黑体" w:hAnsi="仿宋" w:eastAsia="黑体"/>
          <w:color w:val="auto"/>
          <w:sz w:val="32"/>
          <w:szCs w:val="32"/>
          <w:lang w:eastAsia="zh-CN"/>
        </w:rPr>
        <w:t>202</w:t>
      </w:r>
      <w:r>
        <w:rPr>
          <w:rFonts w:hint="eastAsia" w:ascii="黑体" w:hAnsi="仿宋" w:eastAsia="黑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仿宋" w:eastAsia="黑体"/>
          <w:color w:val="auto"/>
          <w:sz w:val="32"/>
          <w:szCs w:val="32"/>
        </w:rPr>
        <w:t>年政府购买服务支出表的说明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40" w:firstLineChars="200"/>
        <w:outlineLvl w:val="0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农工党亳州市委会202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年没有使用一般公共预算拨款、政府性基金预算拨款、国有资本经营预算拨款、财政专户管理资金和单位资金安排的政府购买服务支出。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十二、其他重要事项情况说明</w:t>
      </w:r>
    </w:p>
    <w:p>
      <w:pPr>
        <w:adjustRightInd w:val="0"/>
        <w:snapToGrid w:val="0"/>
        <w:spacing w:line="600" w:lineRule="exact"/>
        <w:ind w:firstLine="643" w:firstLineChars="200"/>
        <w:rPr>
          <w:rFonts w:ascii="仿宋_GB2312" w:hAnsi="楷体" w:eastAsia="仿宋_GB2312"/>
          <w:b/>
          <w:color w:val="auto"/>
          <w:sz w:val="32"/>
          <w:szCs w:val="32"/>
        </w:rPr>
      </w:pPr>
      <w:r>
        <w:rPr>
          <w:rFonts w:hint="eastAsia" w:ascii="仿宋_GB2312" w:hAnsi="楷体" w:eastAsia="仿宋_GB2312"/>
          <w:b/>
          <w:color w:val="auto"/>
          <w:sz w:val="32"/>
          <w:szCs w:val="32"/>
        </w:rPr>
        <w:t>（一）项目及绩效目标情况。</w:t>
      </w:r>
    </w:p>
    <w:p>
      <w:pPr>
        <w:numPr>
          <w:ilvl w:val="0"/>
          <w:numId w:val="2"/>
        </w:numPr>
        <w:adjustRightInd w:val="0"/>
        <w:snapToGrid w:val="0"/>
        <w:spacing w:line="600" w:lineRule="exact"/>
        <w:ind w:firstLine="803" w:firstLineChars="250"/>
        <w:rPr>
          <w:rFonts w:hint="eastAsia" w:ascii="仿宋_GB2312" w:hAnsi="楷体" w:eastAsia="仿宋_GB2312"/>
          <w:b/>
          <w:color w:val="auto"/>
          <w:sz w:val="32"/>
          <w:szCs w:val="32"/>
        </w:rPr>
      </w:pPr>
      <w:r>
        <w:rPr>
          <w:rFonts w:hint="eastAsia" w:ascii="仿宋_GB2312" w:hAnsi="楷体" w:eastAsia="仿宋_GB2312"/>
          <w:b/>
          <w:color w:val="auto"/>
          <w:sz w:val="32"/>
          <w:szCs w:val="32"/>
        </w:rPr>
        <w:t>“</w:t>
      </w:r>
      <w:r>
        <w:rPr>
          <w:rFonts w:hint="eastAsia" w:ascii="仿宋_GB2312" w:hAnsi="楷体" w:eastAsia="仿宋_GB2312"/>
          <w:b/>
          <w:color w:val="auto"/>
          <w:sz w:val="32"/>
          <w:szCs w:val="32"/>
          <w:lang w:eastAsia="zh-CN"/>
        </w:rPr>
        <w:t>参政议政</w:t>
      </w:r>
      <w:r>
        <w:rPr>
          <w:rFonts w:hint="eastAsia" w:ascii="仿宋_GB2312" w:hAnsi="楷体" w:eastAsia="仿宋_GB2312"/>
          <w:b/>
          <w:color w:val="auto"/>
          <w:sz w:val="32"/>
          <w:szCs w:val="32"/>
        </w:rPr>
        <w:t>”项目。</w:t>
      </w:r>
    </w:p>
    <w:p>
      <w:pPr>
        <w:numPr>
          <w:ilvl w:val="0"/>
          <w:numId w:val="3"/>
        </w:numPr>
        <w:adjustRightInd w:val="0"/>
        <w:snapToGrid w:val="0"/>
        <w:spacing w:line="600" w:lineRule="exact"/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  <w:t>项目概述。该项目主要用于开展专题调研、视察考察、提案、课题研究、反映社情民意等党派经常性工作，旨在提升参政议政的能力。</w:t>
      </w:r>
    </w:p>
    <w:p>
      <w:pPr>
        <w:numPr>
          <w:ilvl w:val="0"/>
          <w:numId w:val="3"/>
        </w:numPr>
        <w:adjustRightInd w:val="0"/>
        <w:snapToGrid w:val="0"/>
        <w:spacing w:line="600" w:lineRule="exact"/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  <w:t>立项依据。党派的基本职能是参政议政、民主监督，参加中国共产党领导的政治协商。</w:t>
      </w:r>
    </w:p>
    <w:p>
      <w:pPr>
        <w:numPr>
          <w:ilvl w:val="0"/>
          <w:numId w:val="3"/>
        </w:numPr>
        <w:adjustRightInd w:val="0"/>
        <w:snapToGrid w:val="0"/>
        <w:spacing w:line="600" w:lineRule="exact"/>
        <w:ind w:left="0" w:leftChars="0" w:firstLine="0" w:firstLineChars="0"/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  <w:t>实施主体。该项目由农工党亳州市委会机关本级组织实施。</w:t>
      </w:r>
    </w:p>
    <w:p>
      <w:pPr>
        <w:numPr>
          <w:ilvl w:val="0"/>
          <w:numId w:val="3"/>
        </w:numPr>
        <w:adjustRightInd w:val="0"/>
        <w:snapToGrid w:val="0"/>
        <w:spacing w:line="600" w:lineRule="exact"/>
        <w:ind w:left="0" w:leftChars="0" w:firstLine="0" w:firstLineChars="0"/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  <w:t>起止时间。该项目为常年项目。</w:t>
      </w:r>
    </w:p>
    <w:p>
      <w:pPr>
        <w:numPr>
          <w:ilvl w:val="0"/>
          <w:numId w:val="3"/>
        </w:numPr>
        <w:adjustRightInd w:val="0"/>
        <w:snapToGrid w:val="0"/>
        <w:spacing w:line="600" w:lineRule="exact"/>
        <w:ind w:left="0" w:leftChars="0" w:firstLine="0" w:firstLineChars="0"/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  <w:t>项目内容。紧紧围绕市委、市政府中心工作，服务大局，积极调查研究，建言献策。</w:t>
      </w:r>
    </w:p>
    <w:p>
      <w:pPr>
        <w:numPr>
          <w:ilvl w:val="0"/>
          <w:numId w:val="0"/>
        </w:numPr>
        <w:adjustRightInd w:val="0"/>
        <w:snapToGrid w:val="0"/>
        <w:spacing w:line="600" w:lineRule="exact"/>
        <w:ind w:leftChars="0"/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  <w:t>（6）年度预算安排。2023年预算资金为5万元。</w:t>
      </w:r>
    </w:p>
    <w:p>
      <w:pPr>
        <w:adjustRightInd w:val="0"/>
        <w:snapToGrid w:val="0"/>
        <w:spacing w:line="600" w:lineRule="exact"/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val="en-US" w:eastAsia="zh-CN" w:bidi="ar-SA"/>
        </w:rPr>
        <w:t>（7）绩效目标。</w:t>
      </w:r>
    </w:p>
    <w:tbl>
      <w:tblPr>
        <w:tblStyle w:val="6"/>
        <w:tblW w:w="5000" w:type="pct"/>
        <w:tblInd w:w="0" w:type="dxa"/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414"/>
        <w:gridCol w:w="841"/>
        <w:gridCol w:w="1653"/>
        <w:gridCol w:w="1332"/>
        <w:gridCol w:w="839"/>
        <w:gridCol w:w="856"/>
        <w:gridCol w:w="839"/>
        <w:gridCol w:w="1340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项目支出绩效目标申报表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（2023 年度）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243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7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9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402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参政议政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9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主管部门及代码</w:t>
            </w:r>
          </w:p>
        </w:tc>
        <w:tc>
          <w:tcPr>
            <w:tcW w:w="17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[028]农工党亳州市委会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实施单位</w:t>
            </w:r>
          </w:p>
        </w:tc>
        <w:tc>
          <w:tcPr>
            <w:tcW w:w="127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农工党亳州市委员会本级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97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项目属性</w:t>
            </w:r>
          </w:p>
        </w:tc>
        <w:tc>
          <w:tcPr>
            <w:tcW w:w="17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常年项目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项目期</w:t>
            </w:r>
          </w:p>
        </w:tc>
        <w:tc>
          <w:tcPr>
            <w:tcW w:w="127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长期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979" w:type="pct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中期资金总额：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年度资金总额：</w:t>
            </w:r>
          </w:p>
        </w:tc>
        <w:tc>
          <w:tcPr>
            <w:tcW w:w="127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979" w:type="pct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   其中：财政拨款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   其中：财政拨款</w:t>
            </w:r>
          </w:p>
        </w:tc>
        <w:tc>
          <w:tcPr>
            <w:tcW w:w="127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979" w:type="pct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         其他资金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         其他资金</w:t>
            </w:r>
          </w:p>
        </w:tc>
        <w:tc>
          <w:tcPr>
            <w:tcW w:w="127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2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标</w:t>
            </w:r>
          </w:p>
        </w:tc>
        <w:tc>
          <w:tcPr>
            <w:tcW w:w="248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中期目标（2023年—2024年）</w:t>
            </w:r>
          </w:p>
        </w:tc>
        <w:tc>
          <w:tcPr>
            <w:tcW w:w="227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年度目标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8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1、紧紧围绕市委、市政府的中心工作，服务大局，积极调查研究，建言献策。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2、主动开展调研考察活动，拿出高质量的调研报告，充分发挥参政议政工作的作用。</w:t>
            </w:r>
          </w:p>
        </w:tc>
        <w:tc>
          <w:tcPr>
            <w:tcW w:w="227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1、紧紧围绕市委、市政府的中心工作，服务大局，积极调查研究，建言献策，全年上报不少于20篇提案及意见建议。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2、全年开展调研考察活动不少于4次，拿出高质量的调研报告，充分发挥参政议政工作的作用。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标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指标值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指标值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标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指标1：开展调研活动次数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≥4次/年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指标1：开展调研活动次数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≥4次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指标2：完成调研报告数量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≥6篇/年</w:t>
            </w: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指标2：完成调研报告数量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≥6篇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指标3：上报提案及意见建议数量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≥20篇/年</w:t>
            </w: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指标3：上报提案及意见建议数量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≥20篇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指标1：获市政协年度优秀提案和优秀调研成果奖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≥2篇/年</w:t>
            </w: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指标1：获市政协年度优秀提案和优秀调研成果奖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≥2篇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指标2：大会及口头发言次数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≥2次/年</w:t>
            </w: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指标2：大会及口头发言次数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≥2次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指标3：经费使用合规性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符合相关规定</w:t>
            </w: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指标3：经费使用合规性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符合相关规定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指标1：开展调研和形成调研报告时限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按年初计划完成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指标1：开展调研和形成调研报告时限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按年初计划完成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指标2：经费支出及时性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及时支付</w:t>
            </w:r>
          </w:p>
        </w:tc>
        <w:tc>
          <w:tcPr>
            <w:tcW w:w="4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指标2：经费支出及时性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及时支付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项目总成本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≤5万元/年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项目总成本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≤5万元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标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经济效益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严格预算执行，从严控制各项经费开支，坚决杜绝浪费现象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程度较高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经济效益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严格预算执行，从严控制各项经费开支，坚决杜绝浪费现象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程度较高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社会效益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高质量建言献策，推动解决群众关心关注的热难点社会问题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程度较高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社会效益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高质量建言献策，推动解决群众关心关注的热难点社会问题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程度较高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生态效益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加强环保领域调研，推动解决重大环保问题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程度较高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生态效益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加强环保领域调研，推动解决重大环保问题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程度较高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可持续影响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持续提升参政议政水平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程度较高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可持续影响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指标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持续提升参政议政水平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程度较高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服务对象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服务对象满意度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≥90%</w:t>
            </w:r>
          </w:p>
        </w:tc>
        <w:tc>
          <w:tcPr>
            <w:tcW w:w="4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服务对象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99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服务对象满意度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≥90%</w:t>
            </w:r>
          </w:p>
        </w:tc>
      </w:tr>
    </w:tbl>
    <w:p>
      <w:pPr>
        <w:adjustRightInd w:val="0"/>
        <w:snapToGrid w:val="0"/>
        <w:spacing w:line="600" w:lineRule="exact"/>
        <w:rPr>
          <w:rFonts w:hint="eastAsia" w:ascii="宋体" w:hAnsi="宋体" w:eastAsia="宋体" w:cs="宋体"/>
          <w:color w:val="auto"/>
          <w:kern w:val="0"/>
          <w:sz w:val="32"/>
          <w:szCs w:val="32"/>
          <w:lang w:val="en-US" w:eastAsia="zh-CN" w:bidi="ar-SA"/>
        </w:rPr>
      </w:pPr>
    </w:p>
    <w:p>
      <w:pPr>
        <w:adjustRightInd w:val="0"/>
        <w:snapToGrid w:val="0"/>
        <w:spacing w:line="600" w:lineRule="exact"/>
        <w:ind w:firstLine="643" w:firstLineChars="200"/>
        <w:rPr>
          <w:rFonts w:ascii="仿宋_GB2312" w:hAnsi="楷体" w:eastAsia="仿宋_GB2312"/>
          <w:b/>
          <w:color w:val="auto"/>
          <w:sz w:val="32"/>
          <w:szCs w:val="32"/>
        </w:rPr>
      </w:pPr>
      <w:r>
        <w:rPr>
          <w:rFonts w:hint="eastAsia" w:ascii="仿宋_GB2312" w:hAnsi="楷体" w:eastAsia="仿宋_GB2312"/>
          <w:b/>
          <w:color w:val="auto"/>
          <w:sz w:val="32"/>
          <w:szCs w:val="32"/>
        </w:rPr>
        <w:t>（二）机关运行经费。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 w:cs="宋体"/>
          <w:color w:val="auto"/>
          <w:kern w:val="0"/>
          <w:sz w:val="32"/>
          <w:szCs w:val="32"/>
          <w:lang w:eastAsia="zh-CN"/>
        </w:rPr>
        <w:t>农工党亳州市委会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202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年机关运行经费财政拨款预算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4.68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万元，比202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年预算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增加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1.06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增长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29.28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%，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增加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主要原因是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2022年单位有新调入人员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。</w:t>
      </w:r>
    </w:p>
    <w:p>
      <w:pPr>
        <w:adjustRightInd w:val="0"/>
        <w:snapToGrid w:val="0"/>
        <w:spacing w:line="600" w:lineRule="exact"/>
        <w:ind w:firstLine="643" w:firstLineChars="200"/>
        <w:rPr>
          <w:rFonts w:eastAsia="仿宋"/>
          <w:b/>
          <w:color w:val="auto"/>
          <w:sz w:val="32"/>
          <w:szCs w:val="32"/>
        </w:rPr>
      </w:pPr>
      <w:r>
        <w:rPr>
          <w:rFonts w:eastAsia="仿宋"/>
          <w:b/>
          <w:color w:val="auto"/>
          <w:sz w:val="32"/>
          <w:szCs w:val="32"/>
        </w:rPr>
        <w:t>（</w:t>
      </w:r>
      <w:r>
        <w:rPr>
          <w:rFonts w:hint="eastAsia" w:eastAsia="仿宋"/>
          <w:b/>
          <w:color w:val="auto"/>
          <w:sz w:val="32"/>
          <w:szCs w:val="32"/>
        </w:rPr>
        <w:t>二</w:t>
      </w:r>
      <w:r>
        <w:rPr>
          <w:rFonts w:eastAsia="仿宋"/>
          <w:b/>
          <w:color w:val="auto"/>
          <w:sz w:val="32"/>
          <w:szCs w:val="32"/>
        </w:rPr>
        <w:t>）政府采购情况。</w:t>
      </w:r>
    </w:p>
    <w:p>
      <w:pPr>
        <w:adjustRightInd w:val="0"/>
        <w:snapToGrid w:val="0"/>
        <w:spacing w:line="600" w:lineRule="exact"/>
        <w:ind w:firstLine="640" w:firstLineChars="200"/>
        <w:rPr>
          <w:rFonts w:eastAsia="仿宋"/>
          <w:color w:val="auto"/>
          <w:sz w:val="32"/>
          <w:szCs w:val="32"/>
        </w:rPr>
      </w:pPr>
      <w:r>
        <w:rPr>
          <w:rFonts w:hint="eastAsia" w:eastAsia="仿宋"/>
          <w:color w:val="auto"/>
          <w:sz w:val="32"/>
          <w:szCs w:val="32"/>
          <w:lang w:eastAsia="zh-CN"/>
        </w:rPr>
        <w:t>农工党亳州市委会</w:t>
      </w:r>
      <w:r>
        <w:rPr>
          <w:rFonts w:eastAsia="仿宋"/>
          <w:color w:val="auto"/>
          <w:sz w:val="32"/>
          <w:szCs w:val="32"/>
        </w:rPr>
        <w:t>202</w:t>
      </w:r>
      <w:r>
        <w:rPr>
          <w:rFonts w:hint="eastAsia" w:eastAsia="仿宋"/>
          <w:color w:val="auto"/>
          <w:sz w:val="32"/>
          <w:szCs w:val="32"/>
          <w:lang w:val="en-US" w:eastAsia="zh-CN"/>
        </w:rPr>
        <w:t>3</w:t>
      </w:r>
      <w:r>
        <w:rPr>
          <w:rFonts w:eastAsia="仿宋"/>
          <w:color w:val="auto"/>
          <w:sz w:val="32"/>
          <w:szCs w:val="32"/>
        </w:rPr>
        <w:t>年政府采购预算总额0万元。其中：政府采购货物预算0万元，政府采购工程预算0万元，政府采购服务预算0万元。</w:t>
      </w:r>
    </w:p>
    <w:p>
      <w:pPr>
        <w:adjustRightInd w:val="0"/>
        <w:snapToGrid w:val="0"/>
        <w:spacing w:line="600" w:lineRule="exact"/>
        <w:ind w:firstLine="643" w:firstLineChars="200"/>
        <w:rPr>
          <w:rFonts w:eastAsia="仿宋"/>
          <w:b/>
          <w:color w:val="auto"/>
          <w:sz w:val="32"/>
          <w:szCs w:val="32"/>
        </w:rPr>
      </w:pPr>
      <w:r>
        <w:rPr>
          <w:rFonts w:eastAsia="仿宋"/>
          <w:b/>
          <w:color w:val="auto"/>
          <w:sz w:val="32"/>
          <w:szCs w:val="32"/>
        </w:rPr>
        <w:t>（</w:t>
      </w:r>
      <w:r>
        <w:rPr>
          <w:rFonts w:hint="eastAsia" w:eastAsia="仿宋"/>
          <w:b/>
          <w:color w:val="auto"/>
          <w:sz w:val="32"/>
          <w:szCs w:val="32"/>
        </w:rPr>
        <w:t>三</w:t>
      </w:r>
      <w:r>
        <w:rPr>
          <w:rFonts w:eastAsia="仿宋"/>
          <w:b/>
          <w:color w:val="auto"/>
          <w:sz w:val="32"/>
          <w:szCs w:val="32"/>
        </w:rPr>
        <w:t>）国有资产占有使用情况。</w: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楷体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</w:rPr>
        <w:t>截至202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年12月31日</w:t>
      </w:r>
      <w:r>
        <w:rPr>
          <w:rFonts w:eastAsia="仿宋"/>
          <w:color w:val="auto"/>
          <w:sz w:val="32"/>
          <w:szCs w:val="32"/>
        </w:rPr>
        <w:t>，</w:t>
      </w:r>
      <w:r>
        <w:rPr>
          <w:rFonts w:hint="eastAsia" w:eastAsia="仿宋"/>
          <w:color w:val="auto"/>
          <w:sz w:val="32"/>
          <w:szCs w:val="32"/>
          <w:lang w:eastAsia="zh-CN"/>
        </w:rPr>
        <w:t>农工党亳州市委会</w:t>
      </w:r>
      <w:r>
        <w:rPr>
          <w:rFonts w:eastAsia="仿宋"/>
          <w:color w:val="auto"/>
          <w:sz w:val="32"/>
          <w:szCs w:val="32"/>
        </w:rPr>
        <w:t>共有车辆0辆，其中：厅级领导干部用车0辆、一般公务用车0辆、执法执勤用车0辆、特种专业技术用车0辆、其他用车0辆</w:t>
      </w:r>
      <w:r>
        <w:rPr>
          <w:rFonts w:hint="eastAsia" w:ascii="仿宋_GB2312" w:hAnsi="楷体" w:eastAsia="仿宋_GB2312"/>
          <w:color w:val="auto"/>
          <w:sz w:val="32"/>
          <w:szCs w:val="32"/>
        </w:rPr>
        <w:t>。</w:t>
      </w:r>
      <w:r>
        <w:rPr>
          <w:rFonts w:eastAsia="仿宋"/>
          <w:color w:val="auto"/>
          <w:sz w:val="32"/>
          <w:szCs w:val="32"/>
        </w:rPr>
        <w:t>单位价值50万元以上的通用设备</w:t>
      </w:r>
      <w:r>
        <w:rPr>
          <w:rFonts w:hint="eastAsia" w:eastAsia="仿宋"/>
          <w:color w:val="auto"/>
          <w:sz w:val="32"/>
          <w:szCs w:val="32"/>
          <w:lang w:val="en-US" w:eastAsia="zh-CN"/>
        </w:rPr>
        <w:t>0</w:t>
      </w:r>
      <w:r>
        <w:rPr>
          <w:rFonts w:eastAsia="仿宋"/>
          <w:color w:val="auto"/>
          <w:sz w:val="32"/>
          <w:szCs w:val="32"/>
        </w:rPr>
        <w:t>台（套），单位价值100万元以上的专用设备</w:t>
      </w:r>
      <w:r>
        <w:rPr>
          <w:rFonts w:hint="eastAsia" w:eastAsia="仿宋"/>
          <w:color w:val="auto"/>
          <w:sz w:val="32"/>
          <w:szCs w:val="32"/>
          <w:lang w:val="en-US" w:eastAsia="zh-CN"/>
        </w:rPr>
        <w:t>0</w:t>
      </w:r>
      <w:r>
        <w:rPr>
          <w:rFonts w:eastAsia="仿宋"/>
          <w:color w:val="auto"/>
          <w:sz w:val="32"/>
          <w:szCs w:val="32"/>
        </w:rPr>
        <w:t>台（套）。</w: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楷体" w:eastAsia="仿宋_GB2312"/>
          <w:color w:val="auto"/>
          <w:sz w:val="32"/>
          <w:szCs w:val="32"/>
        </w:rPr>
      </w:pPr>
      <w:r>
        <w:rPr>
          <w:rFonts w:eastAsia="仿宋"/>
          <w:color w:val="auto"/>
          <w:sz w:val="32"/>
          <w:szCs w:val="32"/>
        </w:rPr>
        <w:t>202</w:t>
      </w:r>
      <w:r>
        <w:rPr>
          <w:rFonts w:hint="eastAsia" w:eastAsia="仿宋"/>
          <w:color w:val="auto"/>
          <w:sz w:val="32"/>
          <w:szCs w:val="32"/>
          <w:lang w:val="en-US" w:eastAsia="zh-CN"/>
        </w:rPr>
        <w:t>3</w:t>
      </w:r>
      <w:r>
        <w:rPr>
          <w:rFonts w:eastAsia="仿宋"/>
          <w:color w:val="auto"/>
          <w:sz w:val="32"/>
          <w:szCs w:val="32"/>
        </w:rPr>
        <w:t>年部门预算安排购置公务用车0辆，购置费0万元，其中：厅级领导干部用车0辆、一般公务用车0辆、执法执勤用车0辆、特种专业技术用车0辆、其他用车0辆</w:t>
      </w:r>
      <w:r>
        <w:rPr>
          <w:rFonts w:hint="eastAsia" w:ascii="仿宋_GB2312" w:hAnsi="楷体" w:eastAsia="仿宋_GB2312"/>
          <w:color w:val="auto"/>
          <w:sz w:val="32"/>
          <w:szCs w:val="32"/>
        </w:rPr>
        <w:t>；</w:t>
      </w:r>
      <w:r>
        <w:rPr>
          <w:rFonts w:eastAsia="仿宋"/>
          <w:color w:val="auto"/>
          <w:sz w:val="32"/>
          <w:szCs w:val="32"/>
        </w:rPr>
        <w:t>安排购置单位价值50万元以上的通用设备0台（套），购置费0万元；安排购置单位价值100万元以上专用设备0台（套），购置费0万元。</w:t>
      </w:r>
    </w:p>
    <w:p>
      <w:pPr>
        <w:adjustRightInd w:val="0"/>
        <w:snapToGrid w:val="0"/>
        <w:spacing w:line="600" w:lineRule="exact"/>
        <w:ind w:firstLine="643" w:firstLineChars="200"/>
        <w:rPr>
          <w:rFonts w:ascii="仿宋_GB2312" w:hAnsi="楷体" w:eastAsia="仿宋_GB2312"/>
          <w:b/>
          <w:color w:val="auto"/>
          <w:sz w:val="32"/>
          <w:szCs w:val="32"/>
        </w:rPr>
      </w:pPr>
      <w:r>
        <w:rPr>
          <w:rFonts w:hint="eastAsia" w:ascii="仿宋_GB2312" w:hAnsi="楷体" w:eastAsia="仿宋_GB2312"/>
          <w:b/>
          <w:color w:val="auto"/>
          <w:sz w:val="32"/>
          <w:szCs w:val="32"/>
        </w:rPr>
        <w:t>（四）绩效目标设置情况。</w:t>
      </w:r>
    </w:p>
    <w:p>
      <w:pPr>
        <w:adjustRightInd w:val="0"/>
        <w:snapToGrid w:val="0"/>
        <w:spacing w:line="600" w:lineRule="exact"/>
        <w:ind w:firstLine="640" w:firstLineChars="200"/>
        <w:rPr>
          <w:rFonts w:eastAsia="仿宋"/>
          <w:color w:val="auto"/>
          <w:sz w:val="32"/>
          <w:szCs w:val="32"/>
        </w:rPr>
      </w:pPr>
      <w:r>
        <w:rPr>
          <w:rFonts w:hint="eastAsia" w:eastAsia="仿宋"/>
          <w:color w:val="auto"/>
          <w:sz w:val="32"/>
          <w:szCs w:val="32"/>
        </w:rPr>
        <w:t>202</w:t>
      </w:r>
      <w:r>
        <w:rPr>
          <w:rFonts w:hint="eastAsia" w:eastAsia="仿宋"/>
          <w:color w:val="auto"/>
          <w:sz w:val="32"/>
          <w:szCs w:val="32"/>
          <w:lang w:val="en-US" w:eastAsia="zh-CN"/>
        </w:rPr>
        <w:t>3</w:t>
      </w:r>
      <w:r>
        <w:rPr>
          <w:rFonts w:hint="eastAsia" w:eastAsia="仿宋"/>
          <w:color w:val="auto"/>
          <w:sz w:val="32"/>
          <w:szCs w:val="32"/>
        </w:rPr>
        <w:t>年，</w:t>
      </w:r>
      <w:r>
        <w:rPr>
          <w:rFonts w:hint="eastAsia" w:eastAsia="仿宋"/>
          <w:color w:val="auto"/>
          <w:sz w:val="32"/>
          <w:szCs w:val="32"/>
          <w:lang w:eastAsia="zh-CN"/>
        </w:rPr>
        <w:t>农工党亳州市委会</w:t>
      </w:r>
      <w:r>
        <w:rPr>
          <w:rFonts w:hint="eastAsia" w:eastAsia="仿宋"/>
          <w:color w:val="auto"/>
          <w:sz w:val="32"/>
          <w:szCs w:val="32"/>
          <w:lang w:val="en-US" w:eastAsia="zh-CN"/>
        </w:rPr>
        <w:t>7</w:t>
      </w:r>
      <w:r>
        <w:rPr>
          <w:rFonts w:hint="eastAsia" w:eastAsia="仿宋"/>
          <w:color w:val="auto"/>
          <w:sz w:val="32"/>
          <w:szCs w:val="32"/>
        </w:rPr>
        <w:t>个项目实行了绩效目标管理，涉及一般公共预算财政拨款</w:t>
      </w:r>
      <w:r>
        <w:rPr>
          <w:rFonts w:hint="eastAsia" w:eastAsia="仿宋"/>
          <w:color w:val="auto"/>
          <w:sz w:val="32"/>
          <w:szCs w:val="32"/>
          <w:lang w:val="en-US" w:eastAsia="zh-CN"/>
        </w:rPr>
        <w:t>15.75</w:t>
      </w:r>
      <w:r>
        <w:rPr>
          <w:rFonts w:hint="eastAsia" w:eastAsia="仿宋"/>
          <w:color w:val="auto"/>
          <w:sz w:val="32"/>
          <w:szCs w:val="32"/>
        </w:rPr>
        <w:t>万元、政府性基金预算财政拨款0万元。</w:t>
      </w:r>
    </w:p>
    <w:p>
      <w:pPr>
        <w:adjustRightInd w:val="0"/>
        <w:snapToGrid w:val="0"/>
        <w:spacing w:line="600" w:lineRule="exact"/>
        <w:jc w:val="center"/>
        <w:rPr>
          <w:rFonts w:ascii="黑体" w:eastAsia="黑体" w:cs="宋体"/>
          <w:color w:val="auto"/>
          <w:sz w:val="36"/>
          <w:szCs w:val="36"/>
        </w:rPr>
      </w:pPr>
      <w:r>
        <w:rPr>
          <w:rFonts w:hint="eastAsia" w:ascii="黑体" w:eastAsia="黑体" w:cs="宋体"/>
          <w:color w:val="auto"/>
          <w:sz w:val="36"/>
          <w:szCs w:val="36"/>
        </w:rPr>
        <w:t>第四部分 名词解释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auto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黑体" w:hAnsi="仿宋" w:eastAsia="黑体"/>
          <w:color w:val="auto"/>
          <w:sz w:val="32"/>
          <w:szCs w:val="32"/>
        </w:rPr>
        <w:t>一、财政拨款收入</w:t>
      </w:r>
      <w:r>
        <w:rPr>
          <w:rFonts w:hint="eastAsia" w:ascii="仿宋_GB2312" w:hAnsi="仿宋" w:eastAsia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指部门或单位从同级财政部门取得的财政预算资金。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27" w:firstLineChars="196"/>
        <w:rPr>
          <w:rFonts w:ascii="仿宋_GB2312" w:hAnsi="仿宋" w:eastAsia="仿宋_GB2312" w:cs="Times New Roman"/>
          <w:color w:val="auto"/>
          <w:kern w:val="2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  <w:lang w:eastAsia="zh-CN"/>
        </w:rPr>
        <w:t>二</w:t>
      </w:r>
      <w:r>
        <w:rPr>
          <w:rFonts w:hint="eastAsia" w:ascii="黑体" w:hAnsi="黑体" w:eastAsia="黑体"/>
          <w:color w:val="auto"/>
          <w:sz w:val="32"/>
          <w:szCs w:val="32"/>
        </w:rPr>
        <w:t>、上年结转：</w:t>
      </w:r>
      <w:r>
        <w:rPr>
          <w:rFonts w:hint="eastAsia" w:ascii="仿宋_GB2312" w:hAnsi="仿宋" w:eastAsia="仿宋_GB2312" w:cs="Times New Roman"/>
          <w:color w:val="auto"/>
          <w:kern w:val="2"/>
          <w:sz w:val="32"/>
          <w:szCs w:val="32"/>
        </w:rPr>
        <w:t>指以前年度安排、结转到本年仍按原用途继续使用的资金。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27" w:firstLineChars="196"/>
        <w:rPr>
          <w:rFonts w:ascii="仿宋_GB2312" w:hAnsi="仿宋" w:eastAsia="仿宋_GB2312" w:cs="Times New Roman"/>
          <w:color w:val="auto"/>
          <w:kern w:val="2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  <w:lang w:eastAsia="zh-CN"/>
        </w:rPr>
        <w:t>三</w:t>
      </w:r>
      <w:r>
        <w:rPr>
          <w:rFonts w:hint="eastAsia" w:ascii="黑体" w:hAnsi="黑体" w:eastAsia="黑体"/>
          <w:color w:val="auto"/>
          <w:sz w:val="32"/>
          <w:szCs w:val="32"/>
        </w:rPr>
        <w:t>、结转下年：</w:t>
      </w:r>
      <w:r>
        <w:rPr>
          <w:rFonts w:hint="eastAsia" w:ascii="仿宋_GB2312" w:hAnsi="仿宋" w:eastAsia="仿宋_GB2312" w:cs="Times New Roman"/>
          <w:color w:val="auto"/>
          <w:kern w:val="2"/>
          <w:sz w:val="32"/>
          <w:szCs w:val="32"/>
        </w:rPr>
        <w:t>指以前年度预算安排、因客观条件发生变化无法按原计划实施，需以后年度按原用途继续使用的资金。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27" w:firstLineChars="196"/>
        <w:rPr>
          <w:rFonts w:ascii="仿宋_GB2312" w:hAnsi="黑体" w:eastAsia="仿宋_GB2312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  <w:lang w:eastAsia="zh-CN"/>
        </w:rPr>
        <w:t>四</w:t>
      </w:r>
      <w:r>
        <w:rPr>
          <w:rFonts w:hint="eastAsia" w:ascii="黑体" w:hAnsi="黑体" w:eastAsia="黑体"/>
          <w:color w:val="auto"/>
          <w:sz w:val="32"/>
          <w:szCs w:val="32"/>
        </w:rPr>
        <w:t>、基本支出</w:t>
      </w:r>
      <w:r>
        <w:rPr>
          <w:rFonts w:hint="eastAsia" w:ascii="仿宋_GB2312" w:hAnsi="黑体" w:eastAsia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黑体" w:eastAsia="仿宋_GB2312"/>
          <w:color w:val="auto"/>
          <w:sz w:val="32"/>
          <w:szCs w:val="32"/>
        </w:rPr>
        <w:t>指为保障机构正常运转、完成日常工作任务而发生的人员支出和公用支出。</w:t>
      </w:r>
    </w:p>
    <w:p>
      <w:pPr>
        <w:pStyle w:val="5"/>
        <w:spacing w:before="0" w:beforeAutospacing="0" w:after="0" w:afterAutospacing="0" w:line="600" w:lineRule="exact"/>
        <w:ind w:firstLine="627" w:firstLineChars="196"/>
        <w:jc w:val="both"/>
        <w:rPr>
          <w:rFonts w:ascii="仿宋_GB2312" w:hAnsi="黑体" w:eastAsia="仿宋_GB2312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  <w:lang w:eastAsia="zh-CN"/>
        </w:rPr>
        <w:t>五</w:t>
      </w:r>
      <w:r>
        <w:rPr>
          <w:rFonts w:hint="eastAsia" w:ascii="黑体" w:hAnsi="黑体" w:eastAsia="黑体"/>
          <w:color w:val="auto"/>
          <w:sz w:val="32"/>
          <w:szCs w:val="32"/>
        </w:rPr>
        <w:t>、项目支出</w:t>
      </w:r>
      <w:r>
        <w:rPr>
          <w:rFonts w:hint="eastAsia" w:ascii="仿宋_GB2312" w:hAnsi="黑体" w:eastAsia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黑体" w:eastAsia="仿宋_GB2312"/>
          <w:color w:val="auto"/>
          <w:sz w:val="32"/>
          <w:szCs w:val="32"/>
        </w:rPr>
        <w:t>指在除基本支出之外的支出，主要用于完成特定的工作任务和事业发展目标。</w:t>
      </w:r>
      <w:r>
        <w:rPr>
          <w:rFonts w:ascii="仿宋_GB2312" w:hAnsi="黑体" w:eastAsia="仿宋_GB2312"/>
          <w:color w:val="auto"/>
          <w:sz w:val="32"/>
          <w:szCs w:val="32"/>
        </w:rPr>
        <w:br w:type="textWrapping"/>
      </w:r>
      <w:r>
        <w:rPr>
          <w:rFonts w:hint="eastAsia" w:ascii="仿宋_GB2312" w:hAnsi="黑体" w:eastAsia="仿宋_GB2312"/>
          <w:color w:val="auto"/>
          <w:sz w:val="32"/>
          <w:szCs w:val="32"/>
        </w:rPr>
        <w:t xml:space="preserve">   </w:t>
      </w:r>
      <w:r>
        <w:rPr>
          <w:rFonts w:hint="eastAsia" w:ascii="黑体" w:hAnsi="黑体" w:eastAsia="黑体"/>
          <w:color w:val="auto"/>
          <w:sz w:val="32"/>
          <w:szCs w:val="32"/>
        </w:rPr>
        <w:t xml:space="preserve"> </w:t>
      </w:r>
      <w:r>
        <w:rPr>
          <w:rFonts w:hint="eastAsia" w:ascii="黑体" w:hAnsi="黑体" w:eastAsia="黑体"/>
          <w:color w:val="auto"/>
          <w:sz w:val="32"/>
          <w:szCs w:val="32"/>
          <w:lang w:eastAsia="zh-CN"/>
        </w:rPr>
        <w:t>六</w:t>
      </w:r>
      <w:r>
        <w:rPr>
          <w:rFonts w:hint="eastAsia" w:ascii="黑体" w:hAnsi="黑体" w:eastAsia="黑体"/>
          <w:color w:val="auto"/>
          <w:sz w:val="32"/>
          <w:szCs w:val="32"/>
        </w:rPr>
        <w:t>、机关运行经费:</w:t>
      </w:r>
      <w:r>
        <w:rPr>
          <w:rFonts w:hint="eastAsia" w:ascii="仿宋_GB2312" w:hAnsi="黑体" w:eastAsia="仿宋_GB2312"/>
          <w:color w:val="auto"/>
          <w:sz w:val="32"/>
          <w:szCs w:val="32"/>
        </w:rPr>
        <w:t>为保障行政单位（包括参照公务员法管理的事业单位）运行用于购买货物和服务的各项资金，包括办公及印刷费、邮电费、差旅费、会议费、福利费、日常维修费、一般设备购置费、办公用房水电费、办公用房取暖费、办公用房物业管理费、公务用车运行维护费以及其他费用。</w:t>
      </w:r>
    </w:p>
    <w:p>
      <w:pPr>
        <w:pStyle w:val="5"/>
        <w:adjustRightInd w:val="0"/>
        <w:snapToGrid w:val="0"/>
        <w:spacing w:before="0" w:beforeAutospacing="0" w:after="0" w:afterAutospacing="0" w:line="600" w:lineRule="exact"/>
        <w:ind w:firstLine="627" w:firstLineChars="196"/>
        <w:jc w:val="both"/>
        <w:rPr>
          <w:rFonts w:ascii="仿宋_GB2312" w:hAnsi="黑体" w:eastAsia="仿宋_GB2312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  <w:lang w:eastAsia="zh-CN"/>
        </w:rPr>
        <w:t>七</w:t>
      </w:r>
      <w:r>
        <w:rPr>
          <w:rFonts w:hint="eastAsia" w:ascii="黑体" w:hAnsi="黑体" w:eastAsia="黑体"/>
          <w:color w:val="auto"/>
          <w:sz w:val="32"/>
          <w:szCs w:val="32"/>
        </w:rPr>
        <w:t>、“三公”经费：</w:t>
      </w:r>
      <w:r>
        <w:rPr>
          <w:rFonts w:hint="eastAsia" w:ascii="仿宋_GB2312" w:hAnsi="黑体" w:eastAsia="仿宋_GB2312"/>
          <w:color w:val="auto"/>
          <w:sz w:val="32"/>
          <w:szCs w:val="32"/>
        </w:rPr>
        <w:t>纳入财政预决算管理的“三公”经费，是指单位用财政拨款安排的因公出国（境）费、公务用车购置及运行费和公务接待费。其中，因公出国（境）费反映单位公务出国（境）的国际旅费、国外城市间交通费、住宿费、伙食费、培训费、公杂费等支出；公务用车购置及运行费反映单位公务用车购置支出（含车辆购置税）及燃料费、维修费、过桥过路费、保险费、安全奖励费用等支出；公务接待费反映单位按规定开支的各类公务接待（含外宾接待</w:t>
      </w:r>
      <w:r>
        <w:rPr>
          <w:rFonts w:ascii="仿宋_GB2312" w:hAnsi="黑体" w:eastAsia="仿宋_GB2312"/>
          <w:color w:val="auto"/>
          <w:sz w:val="32"/>
          <w:szCs w:val="32"/>
        </w:rPr>
        <w:t>）</w:t>
      </w:r>
      <w:r>
        <w:rPr>
          <w:rFonts w:hint="eastAsia" w:ascii="仿宋_GB2312" w:hAnsi="黑体" w:eastAsia="仿宋_GB2312"/>
          <w:color w:val="auto"/>
          <w:sz w:val="32"/>
          <w:szCs w:val="32"/>
        </w:rPr>
        <w:t>支出。</w:t>
      </w:r>
    </w:p>
    <w:p>
      <w:pPr>
        <w:rPr>
          <w:rFonts w:hint="eastAsia" w:eastAsiaTheme="minorEastAsia"/>
          <w:color w:val="auto"/>
          <w:lang w:eastAsia="zh-CN"/>
        </w:rPr>
      </w:pPr>
    </w:p>
    <w:p>
      <w:pPr>
        <w:rPr>
          <w:rFonts w:ascii="Times New Roman" w:hAnsi="Times New Roman" w:cs="Times New Roman"/>
          <w:color w:val="auto"/>
        </w:rPr>
      </w:pPr>
    </w:p>
    <w:sectPr>
      <w:pgSz w:w="11906" w:h="16838"/>
      <w:pgMar w:top="1440" w:right="1797" w:bottom="1440" w:left="179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655711"/>
      <w:docPartObj>
        <w:docPartGallery w:val="autotext"/>
      </w:docPartObj>
    </w:sdtPr>
    <w:sdtContent>
      <w:p>
        <w:pPr>
          <w:pStyle w:val="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33</w:t>
        </w:r>
        <w:r>
          <w:rPr>
            <w:lang w:val="zh-CN"/>
          </w:rPr>
          <w:fldChar w:fldCharType="end"/>
        </w:r>
      </w:p>
    </w:sdtContent>
  </w:sdt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B63A70"/>
    <w:multiLevelType w:val="singleLevel"/>
    <w:tmpl w:val="03B63A70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2984411"/>
    <w:multiLevelType w:val="singleLevel"/>
    <w:tmpl w:val="5298441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5304851B"/>
    <w:multiLevelType w:val="singleLevel"/>
    <w:tmpl w:val="5304851B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5YTZkNjc0NzVjNjM4YTlkOGQ5ZWM4YTNhNDA1MmQifQ=="/>
  </w:docVars>
  <w:rsids>
    <w:rsidRoot w:val="00DA7155"/>
    <w:rsid w:val="000003C1"/>
    <w:rsid w:val="0000176A"/>
    <w:rsid w:val="000027CC"/>
    <w:rsid w:val="00015821"/>
    <w:rsid w:val="00016DCE"/>
    <w:rsid w:val="0002456C"/>
    <w:rsid w:val="00026E99"/>
    <w:rsid w:val="0005090D"/>
    <w:rsid w:val="00050AF9"/>
    <w:rsid w:val="000510A0"/>
    <w:rsid w:val="00052923"/>
    <w:rsid w:val="0005523F"/>
    <w:rsid w:val="000720A0"/>
    <w:rsid w:val="000807F9"/>
    <w:rsid w:val="000812F3"/>
    <w:rsid w:val="000859AC"/>
    <w:rsid w:val="00085B50"/>
    <w:rsid w:val="00086992"/>
    <w:rsid w:val="0009339B"/>
    <w:rsid w:val="000945B8"/>
    <w:rsid w:val="00095C1B"/>
    <w:rsid w:val="000B486F"/>
    <w:rsid w:val="000B701A"/>
    <w:rsid w:val="000C34F5"/>
    <w:rsid w:val="000D0F45"/>
    <w:rsid w:val="000E0593"/>
    <w:rsid w:val="000F001D"/>
    <w:rsid w:val="000F35AE"/>
    <w:rsid w:val="000F6876"/>
    <w:rsid w:val="00110671"/>
    <w:rsid w:val="0012431A"/>
    <w:rsid w:val="00130CD5"/>
    <w:rsid w:val="00143558"/>
    <w:rsid w:val="00145AB0"/>
    <w:rsid w:val="0014631F"/>
    <w:rsid w:val="00150DF1"/>
    <w:rsid w:val="00152846"/>
    <w:rsid w:val="00152BF2"/>
    <w:rsid w:val="00156E31"/>
    <w:rsid w:val="00161C3F"/>
    <w:rsid w:val="00165C02"/>
    <w:rsid w:val="00166692"/>
    <w:rsid w:val="00170725"/>
    <w:rsid w:val="001713F8"/>
    <w:rsid w:val="001771E6"/>
    <w:rsid w:val="001803E7"/>
    <w:rsid w:val="00194491"/>
    <w:rsid w:val="001949D0"/>
    <w:rsid w:val="001A180C"/>
    <w:rsid w:val="001A6389"/>
    <w:rsid w:val="001A70D0"/>
    <w:rsid w:val="001C3EA4"/>
    <w:rsid w:val="001C4E9A"/>
    <w:rsid w:val="001D4149"/>
    <w:rsid w:val="001E0263"/>
    <w:rsid w:val="001E4162"/>
    <w:rsid w:val="001E717A"/>
    <w:rsid w:val="001F54C8"/>
    <w:rsid w:val="001F739C"/>
    <w:rsid w:val="0020776B"/>
    <w:rsid w:val="00210D08"/>
    <w:rsid w:val="00226E7B"/>
    <w:rsid w:val="00231CF0"/>
    <w:rsid w:val="002351AD"/>
    <w:rsid w:val="002458E8"/>
    <w:rsid w:val="0024741B"/>
    <w:rsid w:val="0025289A"/>
    <w:rsid w:val="00263B7E"/>
    <w:rsid w:val="002711F0"/>
    <w:rsid w:val="00271BE7"/>
    <w:rsid w:val="002725C5"/>
    <w:rsid w:val="00277F2D"/>
    <w:rsid w:val="00280650"/>
    <w:rsid w:val="00285291"/>
    <w:rsid w:val="002911C3"/>
    <w:rsid w:val="002933D9"/>
    <w:rsid w:val="00294131"/>
    <w:rsid w:val="002A6B54"/>
    <w:rsid w:val="002B25DE"/>
    <w:rsid w:val="002C2BDF"/>
    <w:rsid w:val="002C781A"/>
    <w:rsid w:val="002D1DB9"/>
    <w:rsid w:val="002E0782"/>
    <w:rsid w:val="002E11DE"/>
    <w:rsid w:val="002E284A"/>
    <w:rsid w:val="002F54FF"/>
    <w:rsid w:val="002F6097"/>
    <w:rsid w:val="002F6AE2"/>
    <w:rsid w:val="003066B6"/>
    <w:rsid w:val="00314943"/>
    <w:rsid w:val="00314DEA"/>
    <w:rsid w:val="0032522B"/>
    <w:rsid w:val="00344389"/>
    <w:rsid w:val="00351103"/>
    <w:rsid w:val="00352640"/>
    <w:rsid w:val="00353EE7"/>
    <w:rsid w:val="003607B2"/>
    <w:rsid w:val="00361647"/>
    <w:rsid w:val="00366256"/>
    <w:rsid w:val="00370476"/>
    <w:rsid w:val="00380820"/>
    <w:rsid w:val="00383CD8"/>
    <w:rsid w:val="0038419D"/>
    <w:rsid w:val="00387043"/>
    <w:rsid w:val="003900A9"/>
    <w:rsid w:val="00394C50"/>
    <w:rsid w:val="003B060D"/>
    <w:rsid w:val="003B3C35"/>
    <w:rsid w:val="003C17BD"/>
    <w:rsid w:val="003C40FD"/>
    <w:rsid w:val="003C45C7"/>
    <w:rsid w:val="003D30B2"/>
    <w:rsid w:val="003E096B"/>
    <w:rsid w:val="003E237C"/>
    <w:rsid w:val="003E66A3"/>
    <w:rsid w:val="003E721C"/>
    <w:rsid w:val="003E7441"/>
    <w:rsid w:val="003E7E98"/>
    <w:rsid w:val="003F2BE9"/>
    <w:rsid w:val="003F5900"/>
    <w:rsid w:val="004048B7"/>
    <w:rsid w:val="00415416"/>
    <w:rsid w:val="00415ED5"/>
    <w:rsid w:val="0042415B"/>
    <w:rsid w:val="00425751"/>
    <w:rsid w:val="0042713F"/>
    <w:rsid w:val="00430C41"/>
    <w:rsid w:val="00431161"/>
    <w:rsid w:val="0044737F"/>
    <w:rsid w:val="00454492"/>
    <w:rsid w:val="00476FB2"/>
    <w:rsid w:val="00482476"/>
    <w:rsid w:val="004845A1"/>
    <w:rsid w:val="0048574C"/>
    <w:rsid w:val="004A6577"/>
    <w:rsid w:val="004A7283"/>
    <w:rsid w:val="004C11CB"/>
    <w:rsid w:val="004C3BD5"/>
    <w:rsid w:val="004C5730"/>
    <w:rsid w:val="004E5CFA"/>
    <w:rsid w:val="00500A91"/>
    <w:rsid w:val="00501172"/>
    <w:rsid w:val="00510B65"/>
    <w:rsid w:val="00514735"/>
    <w:rsid w:val="005166C2"/>
    <w:rsid w:val="00516B0F"/>
    <w:rsid w:val="00525FDD"/>
    <w:rsid w:val="00532161"/>
    <w:rsid w:val="0053715F"/>
    <w:rsid w:val="00542173"/>
    <w:rsid w:val="00544C35"/>
    <w:rsid w:val="005576E1"/>
    <w:rsid w:val="00557E03"/>
    <w:rsid w:val="00562B09"/>
    <w:rsid w:val="00562E89"/>
    <w:rsid w:val="00565987"/>
    <w:rsid w:val="00574EF2"/>
    <w:rsid w:val="00577B14"/>
    <w:rsid w:val="00581A7E"/>
    <w:rsid w:val="00582209"/>
    <w:rsid w:val="00584B72"/>
    <w:rsid w:val="00596AB0"/>
    <w:rsid w:val="005A1CDD"/>
    <w:rsid w:val="005A262C"/>
    <w:rsid w:val="005B0577"/>
    <w:rsid w:val="005B5372"/>
    <w:rsid w:val="005C2187"/>
    <w:rsid w:val="005D2121"/>
    <w:rsid w:val="005E1DBE"/>
    <w:rsid w:val="005E66C6"/>
    <w:rsid w:val="005F1DCD"/>
    <w:rsid w:val="00600DF2"/>
    <w:rsid w:val="00601B50"/>
    <w:rsid w:val="0060284C"/>
    <w:rsid w:val="00604020"/>
    <w:rsid w:val="00614051"/>
    <w:rsid w:val="0062288C"/>
    <w:rsid w:val="0062580F"/>
    <w:rsid w:val="00642177"/>
    <w:rsid w:val="00642C39"/>
    <w:rsid w:val="00647E00"/>
    <w:rsid w:val="00657804"/>
    <w:rsid w:val="00666BD8"/>
    <w:rsid w:val="00672AEA"/>
    <w:rsid w:val="0067761A"/>
    <w:rsid w:val="0069039D"/>
    <w:rsid w:val="00693859"/>
    <w:rsid w:val="00694264"/>
    <w:rsid w:val="006A032A"/>
    <w:rsid w:val="006B17A0"/>
    <w:rsid w:val="006B6125"/>
    <w:rsid w:val="006D39F7"/>
    <w:rsid w:val="006E2BB7"/>
    <w:rsid w:val="006E3F7A"/>
    <w:rsid w:val="006F28D7"/>
    <w:rsid w:val="00712B3E"/>
    <w:rsid w:val="007211F3"/>
    <w:rsid w:val="007221FD"/>
    <w:rsid w:val="00722B93"/>
    <w:rsid w:val="007318DE"/>
    <w:rsid w:val="0074251D"/>
    <w:rsid w:val="00752451"/>
    <w:rsid w:val="00752F7A"/>
    <w:rsid w:val="0075731C"/>
    <w:rsid w:val="0076294D"/>
    <w:rsid w:val="00772BCD"/>
    <w:rsid w:val="00796E8E"/>
    <w:rsid w:val="007A0175"/>
    <w:rsid w:val="007A0E2A"/>
    <w:rsid w:val="007A714A"/>
    <w:rsid w:val="007B0E13"/>
    <w:rsid w:val="007D2C1D"/>
    <w:rsid w:val="007D3209"/>
    <w:rsid w:val="007E28D7"/>
    <w:rsid w:val="007E2D78"/>
    <w:rsid w:val="007E36F8"/>
    <w:rsid w:val="007F1BDE"/>
    <w:rsid w:val="00812049"/>
    <w:rsid w:val="008206AC"/>
    <w:rsid w:val="00831988"/>
    <w:rsid w:val="0083254E"/>
    <w:rsid w:val="00842138"/>
    <w:rsid w:val="00860CC8"/>
    <w:rsid w:val="00863DEC"/>
    <w:rsid w:val="0087380C"/>
    <w:rsid w:val="00891055"/>
    <w:rsid w:val="00893638"/>
    <w:rsid w:val="008A3E15"/>
    <w:rsid w:val="008A4D1E"/>
    <w:rsid w:val="008B0535"/>
    <w:rsid w:val="008D00CE"/>
    <w:rsid w:val="008D0C69"/>
    <w:rsid w:val="008D3932"/>
    <w:rsid w:val="008D6F39"/>
    <w:rsid w:val="008E3D68"/>
    <w:rsid w:val="008E7426"/>
    <w:rsid w:val="008F1230"/>
    <w:rsid w:val="008F5697"/>
    <w:rsid w:val="00905D7A"/>
    <w:rsid w:val="00907EB1"/>
    <w:rsid w:val="009154FB"/>
    <w:rsid w:val="00915909"/>
    <w:rsid w:val="00915D08"/>
    <w:rsid w:val="00922AD1"/>
    <w:rsid w:val="00930672"/>
    <w:rsid w:val="00935904"/>
    <w:rsid w:val="00935BC1"/>
    <w:rsid w:val="00942F52"/>
    <w:rsid w:val="00943723"/>
    <w:rsid w:val="00960E56"/>
    <w:rsid w:val="00962167"/>
    <w:rsid w:val="009640FF"/>
    <w:rsid w:val="009730E4"/>
    <w:rsid w:val="00976479"/>
    <w:rsid w:val="0098716A"/>
    <w:rsid w:val="009874BC"/>
    <w:rsid w:val="0099011F"/>
    <w:rsid w:val="00990C8B"/>
    <w:rsid w:val="00990FA1"/>
    <w:rsid w:val="009A3572"/>
    <w:rsid w:val="009A5CC2"/>
    <w:rsid w:val="009C10D1"/>
    <w:rsid w:val="009C7F13"/>
    <w:rsid w:val="009E5A38"/>
    <w:rsid w:val="009F2E05"/>
    <w:rsid w:val="00A13C61"/>
    <w:rsid w:val="00A25CFC"/>
    <w:rsid w:val="00A26644"/>
    <w:rsid w:val="00A266F5"/>
    <w:rsid w:val="00A33786"/>
    <w:rsid w:val="00A34D62"/>
    <w:rsid w:val="00A44BD8"/>
    <w:rsid w:val="00A46E97"/>
    <w:rsid w:val="00A51BB2"/>
    <w:rsid w:val="00A566E8"/>
    <w:rsid w:val="00A608FC"/>
    <w:rsid w:val="00A62DE6"/>
    <w:rsid w:val="00A64517"/>
    <w:rsid w:val="00A64B80"/>
    <w:rsid w:val="00A656D0"/>
    <w:rsid w:val="00A66984"/>
    <w:rsid w:val="00A759CE"/>
    <w:rsid w:val="00A80366"/>
    <w:rsid w:val="00A90293"/>
    <w:rsid w:val="00AA019E"/>
    <w:rsid w:val="00AA63E5"/>
    <w:rsid w:val="00AC6A43"/>
    <w:rsid w:val="00AD02CD"/>
    <w:rsid w:val="00AD7F7C"/>
    <w:rsid w:val="00AE6B99"/>
    <w:rsid w:val="00B02555"/>
    <w:rsid w:val="00B106E8"/>
    <w:rsid w:val="00B1602E"/>
    <w:rsid w:val="00B214F8"/>
    <w:rsid w:val="00B24E1E"/>
    <w:rsid w:val="00B31578"/>
    <w:rsid w:val="00B37364"/>
    <w:rsid w:val="00B37A62"/>
    <w:rsid w:val="00B40A13"/>
    <w:rsid w:val="00B51464"/>
    <w:rsid w:val="00B60BEC"/>
    <w:rsid w:val="00B679AC"/>
    <w:rsid w:val="00B7597E"/>
    <w:rsid w:val="00B9441F"/>
    <w:rsid w:val="00B96C93"/>
    <w:rsid w:val="00BA005D"/>
    <w:rsid w:val="00BA0E91"/>
    <w:rsid w:val="00BB550B"/>
    <w:rsid w:val="00BE6210"/>
    <w:rsid w:val="00BF40E0"/>
    <w:rsid w:val="00C009FC"/>
    <w:rsid w:val="00C05FC0"/>
    <w:rsid w:val="00C07806"/>
    <w:rsid w:val="00C10BDA"/>
    <w:rsid w:val="00C23B57"/>
    <w:rsid w:val="00C25627"/>
    <w:rsid w:val="00C32C69"/>
    <w:rsid w:val="00C34B8B"/>
    <w:rsid w:val="00C415C6"/>
    <w:rsid w:val="00C56441"/>
    <w:rsid w:val="00C57B74"/>
    <w:rsid w:val="00C720B7"/>
    <w:rsid w:val="00C72343"/>
    <w:rsid w:val="00C77D0B"/>
    <w:rsid w:val="00C82039"/>
    <w:rsid w:val="00C83D02"/>
    <w:rsid w:val="00C87C34"/>
    <w:rsid w:val="00C907C3"/>
    <w:rsid w:val="00C925A2"/>
    <w:rsid w:val="00CB3A30"/>
    <w:rsid w:val="00CC691C"/>
    <w:rsid w:val="00CD124A"/>
    <w:rsid w:val="00CE053C"/>
    <w:rsid w:val="00CE5011"/>
    <w:rsid w:val="00CE506D"/>
    <w:rsid w:val="00CF2676"/>
    <w:rsid w:val="00CF68DB"/>
    <w:rsid w:val="00D00D14"/>
    <w:rsid w:val="00D125DB"/>
    <w:rsid w:val="00D23BD9"/>
    <w:rsid w:val="00D256A1"/>
    <w:rsid w:val="00D35E02"/>
    <w:rsid w:val="00D41522"/>
    <w:rsid w:val="00D541CF"/>
    <w:rsid w:val="00D6183E"/>
    <w:rsid w:val="00D62F2F"/>
    <w:rsid w:val="00D65BCD"/>
    <w:rsid w:val="00D675E1"/>
    <w:rsid w:val="00D75DE3"/>
    <w:rsid w:val="00D861FB"/>
    <w:rsid w:val="00D93A0A"/>
    <w:rsid w:val="00D97163"/>
    <w:rsid w:val="00DA02CF"/>
    <w:rsid w:val="00DA114A"/>
    <w:rsid w:val="00DA6329"/>
    <w:rsid w:val="00DA7155"/>
    <w:rsid w:val="00DD3619"/>
    <w:rsid w:val="00DD3DB1"/>
    <w:rsid w:val="00DE1CD2"/>
    <w:rsid w:val="00DE43E7"/>
    <w:rsid w:val="00DE4AFE"/>
    <w:rsid w:val="00DF08DE"/>
    <w:rsid w:val="00E14721"/>
    <w:rsid w:val="00E150A9"/>
    <w:rsid w:val="00E25ACC"/>
    <w:rsid w:val="00E31623"/>
    <w:rsid w:val="00E33FD5"/>
    <w:rsid w:val="00E34B24"/>
    <w:rsid w:val="00E35319"/>
    <w:rsid w:val="00E36BDC"/>
    <w:rsid w:val="00E6025A"/>
    <w:rsid w:val="00E60B42"/>
    <w:rsid w:val="00E616B4"/>
    <w:rsid w:val="00E658C5"/>
    <w:rsid w:val="00E717A2"/>
    <w:rsid w:val="00E955F8"/>
    <w:rsid w:val="00E9565D"/>
    <w:rsid w:val="00E96423"/>
    <w:rsid w:val="00EA0754"/>
    <w:rsid w:val="00EA43F9"/>
    <w:rsid w:val="00EB3D13"/>
    <w:rsid w:val="00EB6ECB"/>
    <w:rsid w:val="00EC18BD"/>
    <w:rsid w:val="00EE3CAA"/>
    <w:rsid w:val="00EE4EAA"/>
    <w:rsid w:val="00EE56A3"/>
    <w:rsid w:val="00EE7E1C"/>
    <w:rsid w:val="00EF601B"/>
    <w:rsid w:val="00EF74BD"/>
    <w:rsid w:val="00F1313F"/>
    <w:rsid w:val="00F177FD"/>
    <w:rsid w:val="00F20784"/>
    <w:rsid w:val="00F354AA"/>
    <w:rsid w:val="00F43207"/>
    <w:rsid w:val="00F447BE"/>
    <w:rsid w:val="00F45865"/>
    <w:rsid w:val="00F57E2D"/>
    <w:rsid w:val="00F6260A"/>
    <w:rsid w:val="00F62848"/>
    <w:rsid w:val="00F65F2C"/>
    <w:rsid w:val="00F708D4"/>
    <w:rsid w:val="00F736DC"/>
    <w:rsid w:val="00F74D65"/>
    <w:rsid w:val="00F944E0"/>
    <w:rsid w:val="00FA26D6"/>
    <w:rsid w:val="00FB5E80"/>
    <w:rsid w:val="00FC0EE2"/>
    <w:rsid w:val="00FC1ED6"/>
    <w:rsid w:val="00FC4888"/>
    <w:rsid w:val="00FD3F0A"/>
    <w:rsid w:val="00FE398C"/>
    <w:rsid w:val="00FE475B"/>
    <w:rsid w:val="00FF6EF3"/>
    <w:rsid w:val="035D365A"/>
    <w:rsid w:val="05946DFA"/>
    <w:rsid w:val="0AEB2CF9"/>
    <w:rsid w:val="0C362174"/>
    <w:rsid w:val="0C803B53"/>
    <w:rsid w:val="0E73375D"/>
    <w:rsid w:val="132C019B"/>
    <w:rsid w:val="1CBA4745"/>
    <w:rsid w:val="1FCD090C"/>
    <w:rsid w:val="1FEC6722"/>
    <w:rsid w:val="21BF66AA"/>
    <w:rsid w:val="22656A51"/>
    <w:rsid w:val="270002FC"/>
    <w:rsid w:val="27296D5D"/>
    <w:rsid w:val="2AAA2AD3"/>
    <w:rsid w:val="2D711964"/>
    <w:rsid w:val="37CA01F4"/>
    <w:rsid w:val="385005CB"/>
    <w:rsid w:val="3D363526"/>
    <w:rsid w:val="44B46BCD"/>
    <w:rsid w:val="4552724E"/>
    <w:rsid w:val="475F394A"/>
    <w:rsid w:val="4A2B4FE3"/>
    <w:rsid w:val="4B761596"/>
    <w:rsid w:val="4BDC2671"/>
    <w:rsid w:val="5518442B"/>
    <w:rsid w:val="5A124387"/>
    <w:rsid w:val="60C16521"/>
    <w:rsid w:val="68D55D79"/>
    <w:rsid w:val="69563CDB"/>
    <w:rsid w:val="695A0534"/>
    <w:rsid w:val="71202F46"/>
    <w:rsid w:val="745520E7"/>
    <w:rsid w:val="77B22600"/>
    <w:rsid w:val="7A3E05C9"/>
    <w:rsid w:val="7F61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批注框文本 字符"/>
    <w:basedOn w:val="8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3D99B-A5C8-45FB-937E-F43F30FA31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24</Pages>
  <Words>8265</Words>
  <Characters>10051</Characters>
  <Lines>90</Lines>
  <Paragraphs>25</Paragraphs>
  <TotalTime>0</TotalTime>
  <ScaleCrop>false</ScaleCrop>
  <LinksUpToDate>false</LinksUpToDate>
  <CharactersWithSpaces>10483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2021-02-01T00:18:00Z</dcterms:created>
  <dc:creator>刘海</dc:creator>
  <cp:lastModifiedBy>Administrator</cp:lastModifiedBy>
  <cp:lastPrinted>2022-02-11T00:24:00Z</cp:lastPrinted>
  <dcterms:modified xsi:type="dcterms:W3CDTF">2023-02-09T03:14:25Z</dcterms:modified>
  <cp:revision>277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70521C707D4043C7A43FBDDA84966054</vt:lpwstr>
  </property>
</Properties>
</file>