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spacing w:line="700" w:lineRule="exact"/>
        <w:jc w:val="center"/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</w:pPr>
    </w:p>
    <w:p>
      <w:pPr>
        <w:overflowPunct w:val="0"/>
        <w:spacing w:line="700" w:lineRule="exact"/>
        <w:jc w:val="center"/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</w:pPr>
      <w:r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  <w:t>亳州</w:t>
      </w:r>
      <w:r>
        <w:rPr>
          <w:rFonts w:hint="eastAsia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/>
        </w:rPr>
        <w:t>市</w:t>
      </w:r>
      <w:r>
        <w:rPr>
          <w:rFonts w:hint="eastAsia" w:eastAsia="方正小标宋简体" w:cs="Times New Roman"/>
          <w:color w:val="000000"/>
          <w:kern w:val="0"/>
          <w:sz w:val="44"/>
          <w:szCs w:val="44"/>
          <w:lang w:val="en-US" w:eastAsia="zh-CN"/>
        </w:rPr>
        <w:t>国动办</w:t>
      </w:r>
      <w:r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  <w:t>202</w:t>
      </w:r>
      <w:r>
        <w:rPr>
          <w:rFonts w:hint="eastAsia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/>
        </w:rPr>
        <w:t>3</w:t>
      </w:r>
      <w:r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  <w:t>年</w:t>
      </w:r>
    </w:p>
    <w:p>
      <w:pPr>
        <w:overflowPunct w:val="0"/>
        <w:spacing w:line="700" w:lineRule="exact"/>
        <w:jc w:val="center"/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</w:pPr>
      <w:r>
        <w:rPr>
          <w:rFonts w:ascii="Times New Roman" w:hAnsi="Times New Roman" w:eastAsia="方正小标宋简体" w:cs="Times New Roman"/>
          <w:color w:val="000000"/>
          <w:kern w:val="0"/>
          <w:sz w:val="44"/>
          <w:szCs w:val="44"/>
        </w:rPr>
        <w:t>政府信息公开工作年度报告</w:t>
      </w:r>
    </w:p>
    <w:p>
      <w:pPr>
        <w:overflowPunct w:val="0"/>
        <w:spacing w:line="60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</w:p>
    <w:p>
      <w:pPr>
        <w:overflowPunct w:val="0"/>
        <w:spacing w:line="600" w:lineRule="exact"/>
        <w:ind w:firstLine="640" w:firstLineChars="200"/>
        <w:jc w:val="both"/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根据《中华人民共和国政府信息公开条例》（国务院令第711号）规定和《国务院办公厅政府信息与政务公开办公室关于印发&lt;中华人民共和国政府信息公开工作年度报告格式&gt;的通知》（国办公开办函〔2021〕30号）要求，现发布《亳州市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eastAsia="zh-CN"/>
        </w:rPr>
        <w:t>国动办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202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年政府信息公开工作年度报告》。本年度报告电子版可从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亳州</w:t>
      </w: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市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国动办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（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网址：https://www.bozhou.gov.cn/XxgkContent/showList/332/0/page_1.html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）“政府信息公开”专栏下载。如对本报告有任何疑问，请与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亳州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市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国动办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联系（地址：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安徽省亳州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市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仙翁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路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76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号，电话：055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-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5525291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，邮编：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236800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）。</w:t>
      </w:r>
    </w:p>
    <w:p>
      <w:pPr>
        <w:overflowPunct w:val="0"/>
        <w:spacing w:line="600" w:lineRule="exact"/>
        <w:ind w:firstLine="640" w:firstLineChars="200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  <w:t>一、总体情况</w:t>
      </w:r>
    </w:p>
    <w:p>
      <w:pPr>
        <w:overflowPunct w:val="0"/>
        <w:spacing w:line="60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（一）主动公开</w:t>
      </w:r>
    </w:p>
    <w:p>
      <w:pPr>
        <w:overflowPunct w:val="0"/>
        <w:spacing w:line="600" w:lineRule="exact"/>
        <w:ind w:firstLine="640" w:firstLineChars="200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  <w:t>202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  <w:t>年，市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eastAsia="zh-CN"/>
        </w:rPr>
        <w:t>国动办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  <w:t>办认真落实市政务公开办关于政务公开工作的部署，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eastAsia="zh-CN"/>
        </w:rPr>
        <w:t>积极做好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  <w:t>重大事项决策预公开、行政权力运行、双随机一公开等领域信息公开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eastAsia="zh-CN"/>
        </w:rPr>
        <w:t>。</w:t>
      </w:r>
      <w:r>
        <w:rPr>
          <w:rFonts w:ascii="仿宋" w:hAnsi="仿宋" w:eastAsia="仿宋" w:cs="仿宋"/>
          <w:i w:val="0"/>
          <w:caps w:val="0"/>
          <w:color w:val="000000"/>
          <w:spacing w:val="0"/>
          <w:sz w:val="32"/>
          <w:szCs w:val="32"/>
          <w:lang w:val="en-US"/>
        </w:rPr>
        <w:t>202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  <w:t>年，市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eastAsia="zh-CN"/>
        </w:rPr>
        <w:t>国动办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  <w:t>政府信息主动公开目录信息发布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val="en-US" w:eastAsia="zh-CN"/>
        </w:rPr>
        <w:t>14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  <w:t>条。其中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eastAsia="zh-CN"/>
        </w:rPr>
        <w:t>主动回应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  <w:t>条，主题活动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val="en-US"/>
        </w:rPr>
        <w:t>4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  <w:t>条。</w:t>
      </w:r>
    </w:p>
    <w:p>
      <w:pPr>
        <w:overflowPunct w:val="0"/>
        <w:spacing w:line="60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（二）依申请公开</w:t>
      </w:r>
    </w:p>
    <w:p>
      <w:pPr>
        <w:overflowPunct w:val="0"/>
        <w:spacing w:line="600" w:lineRule="exact"/>
        <w:ind w:firstLine="640" w:firstLineChars="200"/>
        <w:rPr>
          <w:rFonts w:hint="eastAsia" w:ascii="方正仿宋_GBK" w:hAnsi="方正仿宋_GBK" w:eastAsia="方正仿宋_GBK" w:cs="方正仿宋_GBK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ascii="方正仿宋_GBK" w:hAnsi="方正仿宋_GBK" w:eastAsia="方正仿宋_GBK" w:cs="方正仿宋_GBK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202</w:t>
      </w:r>
      <w:r>
        <w:rPr>
          <w:rFonts w:hint="eastAsia" w:ascii="方正仿宋_GBK" w:hAnsi="方正仿宋_GBK" w:eastAsia="方正仿宋_GBK" w:cs="方正仿宋_GBK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年，市国防动员办公室收到公民向本单位提出政府信息公开申请</w:t>
      </w:r>
      <w:r>
        <w:rPr>
          <w:rFonts w:hint="eastAsia" w:ascii="方正仿宋_GBK" w:hAnsi="方正仿宋_GBK" w:eastAsia="方正仿宋_GBK" w:cs="方正仿宋_GBK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3条</w:t>
      </w:r>
      <w:r>
        <w:rPr>
          <w:rFonts w:hint="eastAsia" w:ascii="方正仿宋_GBK" w:hAnsi="方正仿宋_GBK" w:eastAsia="方正仿宋_GBK" w:cs="方正仿宋_GBK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。规范办理依申请公开，及时认真审核，做好登记，规范办理，业务科室提供答复内容，主要负责人签字后经办人员制作规范答复文书，认真上传相关附件，办结后做好归档。本年度政府信息公开工作未引发行政复议、行政诉讼情况。</w:t>
      </w:r>
    </w:p>
    <w:p>
      <w:pPr>
        <w:overflowPunct w:val="0"/>
        <w:spacing w:line="60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（三）政府信息管理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eastAsia="zh-CN"/>
        </w:rPr>
      </w:pP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2023年我办加强制度建设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落实政府信息公开保密审查制度工作要求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严格遵</w:t>
      </w:r>
      <w:r>
        <w:rPr>
          <w:rFonts w:hint="eastAsia" w:ascii="方正仿宋_GBK" w:hAnsi="方正仿宋_GBK" w:eastAsia="方正仿宋_GBK" w:cs="方正仿宋_GBK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循“谁公开、谁负责”和“先审查、后公开”的原则，认真贯彻落实上级文件精神，按照职能分工要求，规范了信息制定人、审查人和公开人等职责及其他内容。要求各科室印发文件由各科室负责主动进行政务信息公开。</w:t>
      </w:r>
      <w:r>
        <w:rPr>
          <w:rFonts w:hint="eastAsia" w:ascii="方正仿宋_GBK" w:hAnsi="方正仿宋_GBK" w:eastAsia="方正仿宋_GBK" w:cs="方正仿宋_GBK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2023</w:t>
      </w:r>
      <w:r>
        <w:rPr>
          <w:rFonts w:hint="eastAsia" w:ascii="方正仿宋_GBK" w:hAnsi="方正仿宋_GBK" w:eastAsia="方正仿宋_GBK" w:cs="方正仿宋_GBK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年，未出现错字、掉字、语法错误、敏感信息等问题。现行有效规范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eastAsia="zh-CN"/>
        </w:rPr>
        <w:t>性文件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eastAsia="zh-CN"/>
        </w:rPr>
        <w:t>件，废止失效文件</w:t>
      </w:r>
      <w:r>
        <w:rPr>
          <w:rFonts w:hint="eastAsia" w:eastAsia="方正仿宋_GBK" w:cs="Times New Roman"/>
          <w:color w:val="000000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eastAsia="zh-CN"/>
        </w:rPr>
        <w:t>件。</w:t>
      </w:r>
    </w:p>
    <w:p>
      <w:pPr>
        <w:overflowPunct w:val="0"/>
        <w:spacing w:line="60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（四）政府信息公开平台建设</w:t>
      </w:r>
      <w:bookmarkStart w:id="0" w:name="_GoBack"/>
      <w:bookmarkEnd w:id="0"/>
    </w:p>
    <w:p>
      <w:pPr>
        <w:overflowPunct w:val="0"/>
        <w:spacing w:line="60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  <w:t>“亳州市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eastAsia="zh-CN"/>
        </w:rPr>
        <w:t>国防动员办公室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  <w:t>”微信公众号发布信息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val="en-US" w:eastAsia="zh-CN"/>
        </w:rPr>
        <w:t>180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  <w:t>条，</w:t>
      </w:r>
      <w:r>
        <w:rPr>
          <w:rFonts w:hint="eastAsia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“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  <w:t>亳州市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eastAsia="zh-CN"/>
        </w:rPr>
        <w:t>国防动员办公室</w:t>
      </w:r>
      <w:r>
        <w:rPr>
          <w:rFonts w:hint="eastAsia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”微博公众号发布信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eastAsia="zh-CN"/>
        </w:rPr>
        <w:t>息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val="en-US" w:eastAsia="zh-CN"/>
        </w:rPr>
        <w:t>174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eastAsia="zh-CN"/>
        </w:rPr>
        <w:t>条</w:t>
      </w:r>
      <w:r>
        <w:rPr>
          <w:rFonts w:hint="eastAsia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  <w:t>及时报道了本单位各项活动，做到了公开透明，将本单位的各项成果展示到公众面前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有力推动了政府信息公开平台建设工作。</w:t>
      </w:r>
    </w:p>
    <w:p>
      <w:pPr>
        <w:overflowPunct w:val="0"/>
        <w:spacing w:line="600" w:lineRule="exact"/>
        <w:ind w:firstLine="640" w:firstLineChars="200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  <w:t>（五）监督保障</w:t>
      </w:r>
    </w:p>
    <w:p>
      <w:pPr>
        <w:overflowPunct w:val="0"/>
        <w:spacing w:line="600" w:lineRule="exact"/>
        <w:ind w:firstLine="640" w:firstLineChars="200"/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2023年市国动办领导</w:t>
      </w:r>
      <w:r>
        <w:rPr>
          <w:rFonts w:hint="eastAsia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认真重视日常工作，定期对政务公开进行监督检查，市国动办人员按时参加市政府召开的培训会议。认真做好市级人民政府工作考核，自觉接受社会各界监督，主动听取群众意见和建议。</w:t>
      </w:r>
      <w:r>
        <w:rPr>
          <w:rFonts w:hint="eastAsia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认真做好第三方测评问题整改，</w:t>
      </w:r>
      <w:r>
        <w:rPr>
          <w:rFonts w:hint="eastAsia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将缺漏项目进行补充，完善本部门政务公开工作。</w:t>
      </w:r>
      <w:r>
        <w:rPr>
          <w:rFonts w:hint="eastAsia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202</w:t>
      </w:r>
      <w:r>
        <w:rPr>
          <w:rFonts w:hint="eastAsia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年未发生因不履行政府信息公开义务、失职失责而发生的责任追究事件。</w:t>
      </w:r>
    </w:p>
    <w:p>
      <w:pPr>
        <w:overflowPunct w:val="0"/>
        <w:spacing w:line="600" w:lineRule="exact"/>
        <w:ind w:firstLine="640" w:firstLineChars="200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  <w:t>二、主动公开政府信息情况</w:t>
      </w:r>
    </w:p>
    <w:tbl>
      <w:tblPr>
        <w:tblStyle w:val="5"/>
        <w:tblW w:w="947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16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第二十条第（一）项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本年废止件数</w:t>
            </w:r>
          </w:p>
        </w:tc>
        <w:tc>
          <w:tcPr>
            <w:tcW w:w="216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现行有效件数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1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第二十条第（五）项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行政许可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第二十条第（六）项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7038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行政处罚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行政强制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47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第二十条第（八）项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信息内容</w:t>
            </w:r>
          </w:p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本年收费金额（单位：万元）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行政事业性收费</w:t>
            </w:r>
          </w:p>
          <w:p/>
        </w:tc>
        <w:tc>
          <w:tcPr>
            <w:tcW w:w="703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宋体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cs="Times New Roman"/>
                <w:color w:val="000000"/>
                <w:sz w:val="20"/>
                <w:szCs w:val="20"/>
                <w:lang w:val="en-US" w:eastAsia="zh-CN"/>
              </w:rPr>
              <w:t>294.92</w:t>
            </w:r>
          </w:p>
        </w:tc>
      </w:tr>
    </w:tbl>
    <w:p>
      <w:pPr>
        <w:overflowPunct w:val="0"/>
        <w:spacing w:line="600" w:lineRule="exact"/>
        <w:ind w:firstLine="640" w:firstLineChars="200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ascii="楷体" w:hAnsi="楷体" w:eastAsia="楷体" w:cs="楷体"/>
                <w:color w:val="000000"/>
                <w:sz w:val="20"/>
                <w:szCs w:val="20"/>
                <w:lang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688" w:type="dxa"/>
            <w:vMerge w:val="restart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商业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企业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科研</w:t>
            </w:r>
          </w:p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0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3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76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  <w:jc w:val="center"/>
        </w:trPr>
        <w:tc>
          <w:tcPr>
            <w:tcW w:w="76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（二）部分公开</w:t>
            </w:r>
            <w:r>
              <w:rPr>
                <w:rFonts w:hint="eastAsia" w:ascii="楷体" w:hAnsi="楷体" w:eastAsia="楷体" w:cs="楷体"/>
                <w:color w:val="000000"/>
                <w:sz w:val="20"/>
                <w:szCs w:val="20"/>
                <w:lang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4" w:space="0"/>
              <w:left w:val="nil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（三）不予公开</w:t>
            </w:r>
          </w:p>
        </w:tc>
        <w:tc>
          <w:tcPr>
            <w:tcW w:w="3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left w:val="nil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left w:val="nil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left w:val="nil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left w:val="nil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left w:val="nil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left w:val="nil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7.属于行政执法案卷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8.属于行政查询事项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restart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0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single" w:color="auto" w:sz="0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3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</w:rPr>
            </w:pPr>
            <w:r>
              <w:rPr>
                <w:rFonts w:hint="eastAsia" w:cs="Calibri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ascii="宋体" w:hAnsi="Times New Roman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cs="Times New Roman"/>
                <w:color w:val="000000"/>
                <w:sz w:val="24"/>
                <w:lang w:val="en-US" w:eastAsia="zh-CN"/>
              </w:rPr>
              <w:t>0</w:t>
            </w:r>
          </w:p>
        </w:tc>
      </w:tr>
    </w:tbl>
    <w:p>
      <w:pPr>
        <w:overflowPunct w:val="0"/>
        <w:spacing w:line="600" w:lineRule="exact"/>
        <w:ind w:firstLine="640" w:firstLineChars="200"/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650"/>
        <w:gridCol w:w="650"/>
        <w:gridCol w:w="650"/>
        <w:gridCol w:w="650"/>
        <w:gridCol w:w="649"/>
        <w:gridCol w:w="649"/>
        <w:gridCol w:w="650"/>
        <w:gridCol w:w="650"/>
        <w:gridCol w:w="650"/>
        <w:gridCol w:w="650"/>
        <w:gridCol w:w="650"/>
        <w:gridCol w:w="650"/>
        <w:gridCol w:w="650"/>
        <w:gridCol w:w="65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5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行政复议</w:t>
            </w:r>
          </w:p>
        </w:tc>
        <w:tc>
          <w:tcPr>
            <w:tcW w:w="649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50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结果维持</w:t>
            </w:r>
          </w:p>
        </w:tc>
        <w:tc>
          <w:tcPr>
            <w:tcW w:w="650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纠正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尚未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审结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未经复议直接起诉</w:t>
            </w:r>
          </w:p>
        </w:tc>
        <w:tc>
          <w:tcPr>
            <w:tcW w:w="325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5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65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Times New Roman" w:eastAsia="宋体" w:cs="Times New Roman"/>
                <w:color w:val="000000"/>
                <w:sz w:val="24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尚未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总计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维持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尚未</w:t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黑体" w:cs="Times New Roman"/>
                <w:color w:val="000000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黑体" w:cs="Times New Roman"/>
                <w:color w:val="000000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黑体" w:cs="Times New Roman"/>
                <w:color w:val="000000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黑体" w:cs="Times New Roman"/>
                <w:color w:val="000000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黑体" w:cs="Times New Roman"/>
                <w:color w:val="000000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黑体" w:cs="Times New Roman"/>
                <w:color w:val="000000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</w:rPr>
            </w:pPr>
            <w:r>
              <w:rPr>
                <w:rFonts w:hint="eastAsia" w:ascii="黑体" w:hAnsi="宋体" w:eastAsia="黑体" w:cs="黑体"/>
                <w:color w:val="00000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Times New Roman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cs="Times New Roman"/>
                <w:color w:val="000000"/>
                <w:sz w:val="24"/>
                <w:lang w:val="en-US" w:eastAsia="zh-CN"/>
              </w:rPr>
              <w:t>0</w:t>
            </w:r>
          </w:p>
        </w:tc>
      </w:tr>
    </w:tbl>
    <w:p>
      <w:pPr>
        <w:overflowPunct w:val="0"/>
        <w:spacing w:line="600" w:lineRule="exact"/>
        <w:ind w:firstLine="640" w:firstLineChars="200"/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ascii="方正黑体_GBK" w:hAnsi="方正黑体_GBK" w:eastAsia="方正黑体_GBK" w:cs="方正黑体_GBK"/>
          <w:color w:val="000000"/>
          <w:kern w:val="0"/>
          <w:sz w:val="32"/>
          <w:szCs w:val="32"/>
        </w:rPr>
        <w:t>五、存在的主要问题及改进情况</w:t>
      </w:r>
    </w:p>
    <w:p>
      <w:pPr>
        <w:overflowPunct w:val="0"/>
        <w:spacing w:line="600" w:lineRule="exact"/>
        <w:ind w:firstLine="640" w:firstLineChars="200"/>
        <w:rPr>
          <w:rFonts w:hint="eastAsia" w:eastAsia="方正仿宋_GBK" w:cs="Times New Roman"/>
          <w:color w:val="000000"/>
          <w:kern w:val="0"/>
          <w:sz w:val="32"/>
          <w:szCs w:val="32"/>
          <w:lang w:eastAsia="zh-CN"/>
        </w:rPr>
      </w:pPr>
      <w:r>
        <w:rPr>
          <w:rFonts w:hint="eastAsia" w:eastAsia="方正仿宋_GBK" w:cs="Times New Roman"/>
          <w:color w:val="000000"/>
          <w:kern w:val="0"/>
          <w:sz w:val="32"/>
          <w:szCs w:val="32"/>
          <w:lang w:eastAsia="zh-CN"/>
        </w:rPr>
        <w:t>存在问题：本部门文件涉密程度高，可公开内容少。政务公开方面部分无法发布，导致公开工作进行不及时，不完整。</w:t>
      </w:r>
    </w:p>
    <w:p>
      <w:pPr>
        <w:overflowPunct w:val="0"/>
        <w:spacing w:line="600" w:lineRule="exact"/>
        <w:ind w:firstLine="640" w:firstLineChars="200"/>
        <w:rPr>
          <w:rFonts w:hint="eastAsia" w:eastAsia="方正仿宋_GBK" w:cs="Times New Roman"/>
          <w:color w:val="000000"/>
          <w:kern w:val="0"/>
          <w:sz w:val="32"/>
          <w:szCs w:val="32"/>
          <w:lang w:eastAsia="zh-CN"/>
        </w:rPr>
      </w:pPr>
      <w:r>
        <w:rPr>
          <w:rFonts w:hint="eastAsia" w:eastAsia="方正仿宋_GBK" w:cs="Times New Roman"/>
          <w:color w:val="000000"/>
          <w:kern w:val="0"/>
          <w:sz w:val="32"/>
          <w:szCs w:val="32"/>
          <w:lang w:eastAsia="zh-CN"/>
        </w:rPr>
        <w:t>改进情况：单位内部制定脱密规定，需公开内容由制定科室进行脱密处理，保障政务公开的时效性。</w:t>
      </w:r>
    </w:p>
    <w:p>
      <w:pPr>
        <w:overflowPunct w:val="0"/>
        <w:spacing w:line="600" w:lineRule="exact"/>
        <w:ind w:firstLine="640" w:firstLineChars="200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</w:rPr>
        <w:t>六、其他需要报告的事项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640" w:firstLineChars="200"/>
        <w:textAlignment w:val="auto"/>
        <w:rPr>
          <w:rFonts w:ascii="Times New Roman" w:hAnsi="Times New Roman" w:eastAsia="方正仿宋_GBK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按照《国务院办公厅关于印发〈政府信息公开信息处理费管理办法〉的通知》（国办函〔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2020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〕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109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号）规定的按件、按量收费标准，本年度没有产生信息公开处理费。</w:t>
      </w:r>
    </w:p>
    <w:p/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644" w:right="1531" w:bottom="1644" w:left="1531" w:header="567" w:footer="1417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altName w:val="楷体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tabs>
        <w:tab w:val="left" w:pos="840"/>
      </w:tabs>
      <w:ind w:right="336" w:rightChars="160"/>
      <w:jc w:val="center"/>
      <w:rPr>
        <w:rStyle w:val="7"/>
        <w:rFonts w:hint="eastAsia" w:ascii="仿宋_GB2312" w:hAnsi="宋体" w:eastAsia="仿宋_GB2312" w:cs="Times New Roman"/>
        <w:sz w:val="28"/>
        <w:szCs w:val="28"/>
      </w:rPr>
    </w:pPr>
    <w:r>
      <w:rPr>
        <w:rStyle w:val="7"/>
        <w:rFonts w:hint="eastAsia" w:ascii="仿宋_GB2312" w:hAnsi="宋体" w:eastAsia="仿宋_GB2312" w:cs="Times New Roman"/>
        <w:sz w:val="28"/>
        <w:szCs w:val="28"/>
      </w:rPr>
      <w:t xml:space="preserve">— </w:t>
    </w:r>
    <w:r>
      <w:rPr>
        <w:rFonts w:hint="eastAsia" w:ascii="宋体" w:hAnsi="宋体" w:eastAsia="宋体" w:cs="Times New Roman"/>
        <w:sz w:val="28"/>
        <w:szCs w:val="28"/>
      </w:rPr>
      <w:fldChar w:fldCharType="begin"/>
    </w:r>
    <w:r>
      <w:rPr>
        <w:rStyle w:val="7"/>
        <w:rFonts w:hint="eastAsia" w:ascii="宋体" w:hAnsi="宋体" w:eastAsia="宋体" w:cs="Times New Roman"/>
        <w:sz w:val="28"/>
        <w:szCs w:val="28"/>
      </w:rPr>
      <w:instrText xml:space="preserve">PAGE  </w:instrText>
    </w:r>
    <w:r>
      <w:rPr>
        <w:rFonts w:hint="eastAsia" w:ascii="宋体" w:hAnsi="宋体" w:eastAsia="宋体" w:cs="Times New Roman"/>
        <w:sz w:val="28"/>
        <w:szCs w:val="28"/>
      </w:rPr>
      <w:fldChar w:fldCharType="separate"/>
    </w:r>
    <w:r>
      <w:rPr>
        <w:rStyle w:val="7"/>
        <w:rFonts w:ascii="宋体" w:hAnsi="宋体" w:eastAsia="宋体" w:cs="Times New Roman"/>
        <w:sz w:val="28"/>
        <w:szCs w:val="28"/>
      </w:rPr>
      <w:t>3</w:t>
    </w:r>
    <w:r>
      <w:rPr>
        <w:rFonts w:hint="eastAsia" w:ascii="宋体" w:hAnsi="宋体" w:eastAsia="宋体" w:cs="Times New Roman"/>
        <w:sz w:val="28"/>
        <w:szCs w:val="28"/>
      </w:rPr>
      <w:fldChar w:fldCharType="end"/>
    </w:r>
    <w:r>
      <w:rPr>
        <w:rStyle w:val="7"/>
        <w:rFonts w:hint="eastAsia" w:ascii="仿宋_GB2312" w:hAnsi="宋体" w:eastAsia="仿宋_GB2312" w:cs="Times New Roman"/>
        <w:sz w:val="28"/>
        <w:szCs w:val="28"/>
      </w:rPr>
      <w:t xml:space="preserve"> —               </w:t>
    </w:r>
  </w:p>
  <w:p>
    <w:pPr>
      <w:pStyle w:val="3"/>
      <w:ind w:right="360" w:firstLine="360"/>
      <w:rPr>
        <w:rFonts w:hint="eastAsia" w:ascii="Times New Roman" w:hAnsi="Times New Roman" w:eastAsia="宋体" w:cs="Times New Roman"/>
      </w:rPr>
    </w:pPr>
    <w:r>
      <w:rPr>
        <w:rFonts w:hint="eastAsia" w:ascii="Times New Roman" w:hAnsi="Times New Roman" w:eastAsia="宋体" w:cs="Times New Roman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ind w:firstLine="280" w:firstLineChars="100"/>
      <w:rPr>
        <w:rStyle w:val="7"/>
        <w:rFonts w:hint="eastAsia" w:ascii="仿宋_GB2312" w:hAnsi="宋体" w:eastAsia="仿宋_GB2312" w:cs="Times New Roman"/>
        <w:sz w:val="28"/>
        <w:szCs w:val="28"/>
      </w:rPr>
    </w:pPr>
    <w:r>
      <w:rPr>
        <w:rStyle w:val="7"/>
        <w:rFonts w:hint="eastAsia" w:ascii="仿宋_GB2312" w:hAnsi="宋体" w:eastAsia="仿宋_GB2312" w:cs="Times New Roman"/>
        <w:sz w:val="28"/>
        <w:szCs w:val="28"/>
      </w:rPr>
      <w:t xml:space="preserve">— </w:t>
    </w:r>
    <w:r>
      <w:rPr>
        <w:rFonts w:hint="eastAsia" w:ascii="宋体" w:hAnsi="宋体" w:eastAsia="宋体" w:cs="Times New Roman"/>
        <w:sz w:val="28"/>
        <w:szCs w:val="28"/>
      </w:rPr>
      <w:fldChar w:fldCharType="begin"/>
    </w:r>
    <w:r>
      <w:rPr>
        <w:rStyle w:val="7"/>
        <w:rFonts w:hint="eastAsia" w:ascii="宋体" w:hAnsi="宋体" w:eastAsia="宋体" w:cs="Times New Roman"/>
        <w:sz w:val="28"/>
        <w:szCs w:val="28"/>
      </w:rPr>
      <w:instrText xml:space="preserve">PAGE  </w:instrText>
    </w:r>
    <w:r>
      <w:rPr>
        <w:rFonts w:hint="eastAsia" w:ascii="宋体" w:hAnsi="宋体" w:eastAsia="宋体" w:cs="Times New Roman"/>
        <w:sz w:val="28"/>
        <w:szCs w:val="28"/>
      </w:rPr>
      <w:fldChar w:fldCharType="separate"/>
    </w:r>
    <w:r>
      <w:rPr>
        <w:rStyle w:val="7"/>
        <w:rFonts w:ascii="宋体" w:hAnsi="宋体" w:eastAsia="宋体" w:cs="Times New Roman"/>
        <w:sz w:val="28"/>
        <w:szCs w:val="28"/>
      </w:rPr>
      <w:t>2</w:t>
    </w:r>
    <w:r>
      <w:rPr>
        <w:rFonts w:hint="eastAsia" w:ascii="宋体" w:hAnsi="宋体" w:eastAsia="宋体" w:cs="Times New Roman"/>
        <w:sz w:val="28"/>
        <w:szCs w:val="28"/>
      </w:rPr>
      <w:fldChar w:fldCharType="end"/>
    </w:r>
    <w:r>
      <w:rPr>
        <w:rStyle w:val="7"/>
        <w:rFonts w:hint="eastAsia" w:ascii="仿宋_GB2312" w:hAnsi="宋体" w:eastAsia="仿宋_GB2312" w:cs="Times New Roman"/>
        <w:sz w:val="28"/>
        <w:szCs w:val="28"/>
      </w:rPr>
      <w:t xml:space="preserve"> —</w:t>
    </w:r>
  </w:p>
  <w:p>
    <w:pPr>
      <w:pStyle w:val="3"/>
      <w:ind w:right="360" w:firstLine="360"/>
      <w:rPr>
        <w:rFonts w:ascii="Times New Roman" w:hAnsi="Times New Roman" w:eastAsia="宋体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rPr>
        <w:rFonts w:ascii="Times New Roman" w:hAnsi="Times New Roman" w:eastAsia="宋体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E3ZTk3NzY2NzNhN2VlMTZkMjBhYmIwYzI5OThmMjAifQ=="/>
  </w:docVars>
  <w:rsids>
    <w:rsidRoot w:val="00000000"/>
    <w:rsid w:val="08C808C7"/>
    <w:rsid w:val="0B6E7B99"/>
    <w:rsid w:val="12DF3DE7"/>
    <w:rsid w:val="1B141C9B"/>
    <w:rsid w:val="1B9E79BF"/>
    <w:rsid w:val="4EFA2CC5"/>
    <w:rsid w:val="512F776D"/>
    <w:rsid w:val="5C570976"/>
    <w:rsid w:val="64936870"/>
    <w:rsid w:val="6A1159E3"/>
    <w:rsid w:val="6A145230"/>
    <w:rsid w:val="76E05673"/>
    <w:rsid w:val="7DC0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4">
    <w:name w:val="header"/>
    <w:qFormat/>
    <w:uiPriority w:val="0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character" w:styleId="7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2023-12-25T03:12:00Z</dcterms:created>
  <dc:creator>AC</dc:creator>
  <cp:lastModifiedBy>缘翼</cp:lastModifiedBy>
  <dcterms:modified xsi:type="dcterms:W3CDTF">2024-01-18T08:32:06Z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46C59970F12147439C815C1708172008_12</vt:lpwstr>
  </property>
  <property fmtid="{D5CDD505-2E9C-101B-9397-08002B2CF9AE}" pid="4" name="KSOSaveFontToCloudKey">
    <vt:lpwstr>958401286_cloud</vt:lpwstr>
  </property>
</Properties>
</file>