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800" w:lineRule="exact"/>
        <w:ind w:firstLine="0" w:firstLineChars="0"/>
        <w:jc w:val="center"/>
        <w:textAlignment w:val="auto"/>
        <w:rPr>
          <w:rFonts w:hint="default" w:ascii="Times New Roman" w:hAnsi="Times New Roman" w:eastAsia="方正小标宋简体" w:cs="Times New Roman"/>
          <w:color w:val="000000"/>
          <w:sz w:val="44"/>
          <w:szCs w:val="44"/>
          <w:shd w:val="clear" w:color="auto" w:fill="FFFFFF"/>
        </w:rPr>
      </w:pP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3D3D3D"/>
          <w:spacing w:val="0"/>
          <w:kern w:val="0"/>
          <w:sz w:val="32"/>
          <w:szCs w:val="32"/>
          <w:shd w:val="clear" w:fill="FFFFFF"/>
          <w:lang w:val="en-US" w:eastAsia="zh-CN" w:bidi="ar"/>
        </w:rPr>
        <w:t> </w:t>
      </w:r>
      <w:r>
        <w:rPr>
          <w:rFonts w:hint="default" w:ascii="Times New Roman" w:hAnsi="Times New Roman" w:eastAsia="方正小标宋简体" w:cs="Times New Roman"/>
          <w:color w:val="000000"/>
          <w:sz w:val="44"/>
          <w:szCs w:val="44"/>
          <w:shd w:val="clear" w:color="auto" w:fill="FFFFFF"/>
        </w:rPr>
        <w:t>亳州市人民政府办公室202</w:t>
      </w:r>
      <w:r>
        <w:rPr>
          <w:rFonts w:hint="default" w:ascii="Times New Roman" w:hAnsi="Times New Roman" w:eastAsia="方正小标宋简体" w:cs="Times New Roman"/>
          <w:color w:val="000000"/>
          <w:sz w:val="44"/>
          <w:szCs w:val="44"/>
          <w:shd w:val="clear" w:color="auto" w:fill="FFFFFF"/>
          <w:lang w:val="en-US" w:eastAsia="zh-CN"/>
        </w:rPr>
        <w:t>1</w:t>
      </w:r>
      <w:r>
        <w:rPr>
          <w:rFonts w:hint="default" w:ascii="Times New Roman" w:hAnsi="Times New Roman" w:eastAsia="方正小标宋简体" w:cs="Times New Roman"/>
          <w:color w:val="000000"/>
          <w:sz w:val="44"/>
          <w:szCs w:val="44"/>
          <w:shd w:val="clear" w:color="auto" w:fill="FFFFFF"/>
        </w:rPr>
        <w:t>年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800" w:lineRule="exact"/>
        <w:ind w:firstLine="0" w:firstLineChars="0"/>
        <w:jc w:val="center"/>
        <w:textAlignment w:val="auto"/>
        <w:rPr>
          <w:rFonts w:hint="default" w:ascii="Times New Roman" w:hAnsi="Times New Roman" w:eastAsia="方正小标宋简体" w:cs="Times New Roman"/>
          <w:color w:val="000000"/>
          <w:sz w:val="44"/>
          <w:szCs w:val="44"/>
          <w:shd w:val="clear" w:color="auto" w:fill="FFFFFF"/>
        </w:rPr>
      </w:pPr>
      <w:r>
        <w:rPr>
          <w:rFonts w:hint="default" w:ascii="Times New Roman" w:hAnsi="Times New Roman" w:eastAsia="方正小标宋简体" w:cs="Times New Roman"/>
          <w:color w:val="000000"/>
          <w:sz w:val="44"/>
          <w:szCs w:val="44"/>
          <w:shd w:val="clear" w:color="auto" w:fill="FFFFFF"/>
        </w:rPr>
        <w:t>政府信息公开工作年度报告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800" w:lineRule="exact"/>
        <w:ind w:firstLine="0" w:firstLineChars="0"/>
        <w:jc w:val="center"/>
        <w:textAlignment w:val="auto"/>
        <w:rPr>
          <w:rFonts w:hint="default" w:ascii="Times New Roman" w:hAnsi="Times New Roman" w:eastAsia="方正小标宋简体" w:cs="Times New Roman"/>
          <w:color w:val="000000"/>
          <w:sz w:val="44"/>
          <w:szCs w:val="44"/>
          <w:shd w:val="clear" w:color="auto" w:fill="FFFFFF"/>
          <w:lang w:val="en-US" w:eastAsia="zh-CN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i w:val="0"/>
          <w:iCs w:val="0"/>
          <w:caps w:val="0"/>
          <w:color w:val="3D3D3D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3D3D3D"/>
          <w:spacing w:val="0"/>
          <w:kern w:val="0"/>
          <w:sz w:val="32"/>
          <w:szCs w:val="32"/>
          <w:shd w:val="clear" w:fill="FFFFFF"/>
          <w:lang w:val="en-US" w:eastAsia="zh-CN" w:bidi="ar"/>
        </w:rPr>
        <w:t>根据《中华人民共和国政府信息公开条例》（国务院令第711号，以下简称《条例》）规定和《国务院办公厅政府信息与政务公开办公室关于印发&lt;中华人民共和国政府信息公开工作年度报告格式&gt;的通知》（国办公开办函〔2021〕30号）要求，现发布《亳州市人民政府办公室2021年政府信息公开工作年度报告》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643" w:firstLineChars="200"/>
        <w:jc w:val="left"/>
        <w:textAlignment w:val="auto"/>
        <w:rPr>
          <w:rStyle w:val="5"/>
          <w:rFonts w:hint="default" w:ascii="Times New Roman" w:hAnsi="Times New Roman" w:eastAsia="方正仿宋_GBK" w:cs="Times New Roman"/>
          <w:b/>
          <w:bCs/>
          <w:i w:val="0"/>
          <w:iCs w:val="0"/>
          <w:caps w:val="0"/>
          <w:color w:val="3D3D3D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Style w:val="5"/>
          <w:rFonts w:hint="default" w:ascii="Times New Roman" w:hAnsi="Times New Roman" w:eastAsia="方正仿宋_GBK" w:cs="Times New Roman"/>
          <w:b/>
          <w:bCs/>
          <w:i w:val="0"/>
          <w:iCs w:val="0"/>
          <w:caps w:val="0"/>
          <w:color w:val="3D3D3D"/>
          <w:spacing w:val="0"/>
          <w:kern w:val="0"/>
          <w:sz w:val="32"/>
          <w:szCs w:val="32"/>
          <w:shd w:val="clear" w:fill="FFFFFF"/>
          <w:lang w:val="en-US" w:eastAsia="zh-CN" w:bidi="ar"/>
        </w:rPr>
        <w:t> 一、总体情况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643" w:firstLineChars="200"/>
        <w:jc w:val="left"/>
        <w:textAlignment w:val="auto"/>
        <w:rPr>
          <w:rStyle w:val="5"/>
          <w:rFonts w:hint="default" w:ascii="Times New Roman" w:hAnsi="Times New Roman" w:eastAsia="方正仿宋_GBK" w:cs="Times New Roman"/>
          <w:b/>
          <w:bCs/>
          <w:i w:val="0"/>
          <w:iCs w:val="0"/>
          <w:caps w:val="0"/>
          <w:color w:val="3D3D3D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Style w:val="5"/>
          <w:rFonts w:hint="default" w:ascii="Times New Roman" w:hAnsi="Times New Roman" w:eastAsia="方正仿宋_GBK" w:cs="Times New Roman"/>
          <w:b/>
          <w:bCs/>
          <w:i w:val="0"/>
          <w:iCs w:val="0"/>
          <w:caps w:val="0"/>
          <w:color w:val="3D3D3D"/>
          <w:spacing w:val="0"/>
          <w:kern w:val="0"/>
          <w:sz w:val="32"/>
          <w:szCs w:val="32"/>
          <w:shd w:val="clear" w:fill="FFFFFF"/>
          <w:lang w:val="en-US" w:eastAsia="zh-CN" w:bidi="ar"/>
        </w:rPr>
        <w:t>（一）主动公开情况。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i w:val="0"/>
          <w:iCs w:val="0"/>
          <w:caps w:val="0"/>
          <w:color w:val="3D3D3D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3D3D3D"/>
          <w:spacing w:val="0"/>
          <w:kern w:val="0"/>
          <w:sz w:val="32"/>
          <w:szCs w:val="32"/>
          <w:shd w:val="clear" w:fill="FFFFFF"/>
          <w:lang w:val="en-US" w:eastAsia="zh-CN" w:bidi="ar"/>
        </w:rPr>
        <w:t>强化基础信息公开。主动做好政府领导、政府会议、人事信息、财政信息、机构职能、机构设置等内容信息公开工作。强化政策文件发布解读。依托政务公开平台搭建亳州市人民政府政策文件库，2021年共收录政策文件1656条。加强政策解读，解读时着重解读文件的起草背景、起草过程和主要内容，2021年共发布解读信息73条。强化重点领域信息公开。围绕规划信息、“双招双引”、优化营商环境、深化“放管服”改革、公共卫生信息等加大年度重点工作信息公开力度，2021年共发布重点领域相关信息7404条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Style w:val="5"/>
          <w:rFonts w:hint="default" w:ascii="Times New Roman" w:hAnsi="Times New Roman" w:eastAsia="方正仿宋_GBK" w:cs="Times New Roman"/>
          <w:b/>
          <w:bCs/>
          <w:i w:val="0"/>
          <w:iCs w:val="0"/>
          <w:caps w:val="0"/>
          <w:color w:val="3D3D3D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3D3D3D"/>
          <w:spacing w:val="0"/>
          <w:kern w:val="0"/>
          <w:sz w:val="32"/>
          <w:szCs w:val="32"/>
          <w:shd w:val="clear" w:fill="FFFFFF"/>
          <w:lang w:val="en-US" w:eastAsia="zh-CN" w:bidi="ar"/>
        </w:rPr>
        <w:t>  </w:t>
      </w:r>
      <w:r>
        <w:rPr>
          <w:rStyle w:val="5"/>
          <w:rFonts w:hint="default" w:ascii="Times New Roman" w:hAnsi="Times New Roman" w:eastAsia="方正仿宋_GBK" w:cs="Times New Roman"/>
          <w:b/>
          <w:bCs/>
          <w:i w:val="0"/>
          <w:iCs w:val="0"/>
          <w:caps w:val="0"/>
          <w:color w:val="3D3D3D"/>
          <w:spacing w:val="0"/>
          <w:kern w:val="0"/>
          <w:sz w:val="32"/>
          <w:szCs w:val="32"/>
          <w:shd w:val="clear" w:fill="FFFFFF"/>
          <w:lang w:val="en-US" w:eastAsia="zh-CN" w:bidi="ar"/>
        </w:rPr>
        <w:t>（二）依申请公开情况。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i w:val="0"/>
          <w:iCs w:val="0"/>
          <w:caps w:val="0"/>
          <w:color w:val="3D3D3D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3D3D3D"/>
          <w:spacing w:val="0"/>
          <w:kern w:val="0"/>
          <w:sz w:val="32"/>
          <w:szCs w:val="32"/>
          <w:shd w:val="clear" w:fill="FFFFFF"/>
          <w:lang w:val="en-US" w:eastAsia="zh-CN" w:bidi="ar"/>
        </w:rPr>
        <w:t>  严格执行《条例》规定，坚持依法办理。一是完善办理会商机制，围绕疑难申请事项，加强部门协作研究，审慎稳妥答复申请人。二是加强工作业务指导，通过微信、电话等方式为各县区、各部门政府信息公开申请办理提供指导，整体提升办理质量。三是畅通受理渠道，除信函、网络受理外，在市政务服务中心政务公开专区增设信息公开申请现场受理点。截至2021年12月31日，亳州市人民政府办公室依法办理政府信息公开申请48件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Style w:val="5"/>
          <w:rFonts w:hint="default" w:ascii="Times New Roman" w:hAnsi="Times New Roman" w:eastAsia="方正仿宋_GBK" w:cs="Times New Roman"/>
          <w:b/>
          <w:bCs/>
          <w:i w:val="0"/>
          <w:iCs w:val="0"/>
          <w:caps w:val="0"/>
          <w:color w:val="3D3D3D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3D3D3D"/>
          <w:spacing w:val="0"/>
          <w:kern w:val="0"/>
          <w:sz w:val="32"/>
          <w:szCs w:val="32"/>
          <w:shd w:val="clear" w:fill="FFFFFF"/>
          <w:lang w:val="en-US" w:eastAsia="zh-CN" w:bidi="ar"/>
        </w:rPr>
        <w:t>  </w:t>
      </w:r>
      <w:r>
        <w:rPr>
          <w:rStyle w:val="5"/>
          <w:rFonts w:hint="default" w:ascii="Times New Roman" w:hAnsi="Times New Roman" w:eastAsia="方正仿宋_GBK" w:cs="Times New Roman"/>
          <w:b/>
          <w:bCs/>
          <w:i w:val="0"/>
          <w:iCs w:val="0"/>
          <w:caps w:val="0"/>
          <w:color w:val="3D3D3D"/>
          <w:spacing w:val="0"/>
          <w:kern w:val="0"/>
          <w:sz w:val="32"/>
          <w:szCs w:val="32"/>
          <w:shd w:val="clear" w:fill="FFFFFF"/>
          <w:lang w:val="en-US" w:eastAsia="zh-CN" w:bidi="ar"/>
        </w:rPr>
        <w:t>（三）政府信息管理情况。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i w:val="0"/>
          <w:iCs w:val="0"/>
          <w:caps w:val="0"/>
          <w:color w:val="3D3D3D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3D3D3D"/>
          <w:spacing w:val="0"/>
          <w:kern w:val="0"/>
          <w:sz w:val="32"/>
          <w:szCs w:val="32"/>
          <w:shd w:val="clear" w:fill="FFFFFF"/>
          <w:lang w:val="en-US" w:eastAsia="zh-CN" w:bidi="ar"/>
        </w:rPr>
        <w:t>  落实主动公开新要求。按照2021年政务公开工作要求调整主动公开目录，会同司法部门全面做好规范性文件清理公开工作。强化上网信息发布审核。严格审核把关，落实“三级”审核制度，杜绝错误敏感信息上网。建设政务新媒体“微门户”。开通“亳州市人民政府办公室”微博微信，2021年度共推送信息521条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Style w:val="5"/>
          <w:rFonts w:hint="default" w:ascii="Times New Roman" w:hAnsi="Times New Roman" w:eastAsia="方正仿宋_GBK" w:cs="Times New Roman"/>
          <w:b/>
          <w:bCs/>
          <w:i w:val="0"/>
          <w:iCs w:val="0"/>
          <w:caps w:val="0"/>
          <w:color w:val="3D3D3D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3D3D3D"/>
          <w:spacing w:val="0"/>
          <w:kern w:val="0"/>
          <w:sz w:val="32"/>
          <w:szCs w:val="32"/>
          <w:shd w:val="clear" w:fill="FFFFFF"/>
          <w:lang w:val="en-US" w:eastAsia="zh-CN" w:bidi="ar"/>
        </w:rPr>
        <w:t>  </w:t>
      </w:r>
      <w:r>
        <w:rPr>
          <w:rStyle w:val="5"/>
          <w:rFonts w:hint="default" w:ascii="Times New Roman" w:hAnsi="Times New Roman" w:eastAsia="方正仿宋_GBK" w:cs="Times New Roman"/>
          <w:b/>
          <w:bCs/>
          <w:i w:val="0"/>
          <w:iCs w:val="0"/>
          <w:caps w:val="0"/>
          <w:color w:val="3D3D3D"/>
          <w:spacing w:val="0"/>
          <w:kern w:val="0"/>
          <w:sz w:val="32"/>
          <w:szCs w:val="32"/>
          <w:shd w:val="clear" w:fill="FFFFFF"/>
          <w:lang w:val="en-US" w:eastAsia="zh-CN" w:bidi="ar"/>
        </w:rPr>
        <w:t>（四）政府信息公开平台建设情况。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i w:val="0"/>
          <w:iCs w:val="0"/>
          <w:caps w:val="0"/>
          <w:color w:val="3D3D3D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3D3D3D"/>
          <w:spacing w:val="0"/>
          <w:kern w:val="0"/>
          <w:sz w:val="32"/>
          <w:szCs w:val="32"/>
          <w:shd w:val="clear" w:fill="FFFFFF"/>
          <w:lang w:val="en-US" w:eastAsia="zh-CN" w:bidi="ar"/>
        </w:rPr>
        <w:t>  强化政府网站建设管理。进一步优化完善政府网站功能，开展密码应用安全性评估及整改、代码审计、等级保护等工作。加强专题建设。开设深化“放管服”改革、突发公共卫生信息、“六稳”“六保”、统筹推进疫情防控和经济社会发展等13个工作专题，对相关公开信息进行集中展示，推进“一站式”公开。加强公报体制机制创新。对2010年以来出版的《亳州政报》开展了系统整理、核校，及时将69期历史期刊电子版上传市政府网站，逐步丰富网上政府公报数据库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3D3D3D"/>
          <w:spacing w:val="0"/>
          <w:kern w:val="0"/>
          <w:sz w:val="32"/>
          <w:szCs w:val="32"/>
          <w:shd w:val="clear" w:fill="FFFFFF"/>
          <w:lang w:val="en-US" w:eastAsia="zh-CN" w:bidi="ar"/>
        </w:rPr>
        <w:t> </w:t>
      </w:r>
      <w:r>
        <w:rPr>
          <w:rStyle w:val="5"/>
          <w:rFonts w:hint="default" w:ascii="Times New Roman" w:hAnsi="Times New Roman" w:eastAsia="方正仿宋_GBK" w:cs="Times New Roman"/>
          <w:b/>
          <w:bCs/>
          <w:i w:val="0"/>
          <w:iCs w:val="0"/>
          <w:caps w:val="0"/>
          <w:color w:val="3D3D3D"/>
          <w:spacing w:val="0"/>
          <w:kern w:val="0"/>
          <w:sz w:val="32"/>
          <w:szCs w:val="32"/>
          <w:shd w:val="clear" w:fill="FFFFFF"/>
          <w:lang w:val="en-US" w:eastAsia="zh-CN" w:bidi="ar"/>
        </w:rPr>
        <w:t>（五）监督保障情况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225" w:afterAutospacing="0"/>
        <w:ind w:right="0" w:firstLine="640" w:firstLineChars="200"/>
        <w:textAlignment w:val="auto"/>
        <w:rPr>
          <w:rFonts w:hint="default" w:ascii="Times New Roman" w:hAnsi="Times New Roman" w:eastAsia="微软雅黑" w:cs="Times New Roman"/>
          <w:i w:val="0"/>
          <w:iCs w:val="0"/>
          <w:caps w:val="0"/>
          <w:color w:val="3D3D3D"/>
          <w:spacing w:val="0"/>
          <w:sz w:val="24"/>
          <w:szCs w:val="24"/>
        </w:rPr>
      </w:pP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3D3D3D"/>
          <w:spacing w:val="0"/>
          <w:sz w:val="32"/>
          <w:szCs w:val="32"/>
          <w:shd w:val="clear" w:fill="FFFFFF"/>
        </w:rPr>
        <w:t> 一是强化业务培训。2021年组织开展全市政务公开业务培训2次，累计培训200余人次。二是加强制度建设。修订完善《亳州市政府网站集约化平台运维管理制度》《亳州市政府网站和政务新媒体信息发布审核制度》等7项制度。三是加强日常指导。全年开展政务公开第三方评估4次，召开政务公开整改推进会3次，及时向各测评单位反馈测评结果和问题清单。四是完善社会评议制度，及时整改社会评议提出的问题。五是强化责任追究，全年未发生因不履行政务公开义务而发生的责任追究情况。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225" w:afterAutospacing="0"/>
        <w:ind w:left="0" w:right="0" w:firstLine="640" w:firstLineChars="200"/>
        <w:jc w:val="left"/>
        <w:textAlignment w:val="auto"/>
        <w:rPr>
          <w:rFonts w:hint="default" w:ascii="Times New Roman" w:hAnsi="Times New Roman" w:eastAsia="微软雅黑" w:cs="Times New Roman"/>
          <w:i w:val="0"/>
          <w:iCs w:val="0"/>
          <w:caps w:val="0"/>
          <w:color w:val="3D3D3D"/>
          <w:spacing w:val="0"/>
          <w:sz w:val="24"/>
          <w:szCs w:val="24"/>
        </w:rPr>
      </w:pP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3D3D3D"/>
          <w:spacing w:val="0"/>
          <w:kern w:val="0"/>
          <w:sz w:val="32"/>
          <w:szCs w:val="32"/>
          <w:shd w:val="clear" w:fill="FFFFFF"/>
          <w:lang w:val="en-US" w:eastAsia="zh-CN" w:bidi="ar"/>
        </w:rPr>
        <w:t>二、主动公开政府信息情况</w:t>
      </w:r>
    </w:p>
    <w:tbl>
      <w:tblPr>
        <w:tblStyle w:val="3"/>
        <w:tblW w:w="9473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432"/>
        <w:gridCol w:w="2432"/>
        <w:gridCol w:w="2432"/>
        <w:gridCol w:w="217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465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第二十条第（一）项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4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信息内容</w:t>
            </w:r>
          </w:p>
        </w:tc>
        <w:tc>
          <w:tcPr>
            <w:tcW w:w="24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本年制发件数</w:t>
            </w:r>
          </w:p>
        </w:tc>
        <w:tc>
          <w:tcPr>
            <w:tcW w:w="24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本年废止件数</w:t>
            </w:r>
          </w:p>
        </w:tc>
        <w:tc>
          <w:tcPr>
            <w:tcW w:w="21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现行有效件数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4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规章</w:t>
            </w:r>
          </w:p>
        </w:tc>
        <w:tc>
          <w:tcPr>
            <w:tcW w:w="24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  0</w:t>
            </w:r>
          </w:p>
        </w:tc>
        <w:tc>
          <w:tcPr>
            <w:tcW w:w="24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 0 </w:t>
            </w:r>
          </w:p>
        </w:tc>
        <w:tc>
          <w:tcPr>
            <w:tcW w:w="21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 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4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行政规范性文件</w:t>
            </w:r>
          </w:p>
        </w:tc>
        <w:tc>
          <w:tcPr>
            <w:tcW w:w="24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  22</w:t>
            </w:r>
          </w:p>
        </w:tc>
        <w:tc>
          <w:tcPr>
            <w:tcW w:w="24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87</w:t>
            </w:r>
          </w:p>
        </w:tc>
        <w:tc>
          <w:tcPr>
            <w:tcW w:w="21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32"/>
                <w:szCs w:val="32"/>
                <w:lang w:val="en-US" w:eastAsia="zh-CN"/>
              </w:rPr>
              <w:t>380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465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第二十条第（五）项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4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信息内容</w:t>
            </w:r>
          </w:p>
        </w:tc>
        <w:tc>
          <w:tcPr>
            <w:tcW w:w="703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本年处理决定数量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4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行政许可</w:t>
            </w:r>
          </w:p>
        </w:tc>
        <w:tc>
          <w:tcPr>
            <w:tcW w:w="703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465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第二十条第（六）项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4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信息内容</w:t>
            </w:r>
          </w:p>
        </w:tc>
        <w:tc>
          <w:tcPr>
            <w:tcW w:w="703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本年处理决定数量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4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行政处罚</w:t>
            </w:r>
          </w:p>
        </w:tc>
        <w:tc>
          <w:tcPr>
            <w:tcW w:w="703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 0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4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行政强制</w:t>
            </w:r>
          </w:p>
        </w:tc>
        <w:tc>
          <w:tcPr>
            <w:tcW w:w="703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 0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465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第二十条第（八）项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4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信息内容</w:t>
            </w:r>
          </w:p>
        </w:tc>
        <w:tc>
          <w:tcPr>
            <w:tcW w:w="703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本年收费金额（单位：万元）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4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行政事业性收费</w:t>
            </w:r>
          </w:p>
        </w:tc>
        <w:tc>
          <w:tcPr>
            <w:tcW w:w="703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</w:tr>
    </w:tbl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225" w:afterAutospacing="0"/>
        <w:ind w:left="0" w:right="0" w:firstLine="0" w:firstLineChars="0"/>
        <w:jc w:val="both"/>
        <w:textAlignment w:val="auto"/>
        <w:rPr>
          <w:rFonts w:hint="default" w:ascii="Times New Roman" w:hAnsi="Times New Roman" w:eastAsia="微软雅黑" w:cs="Times New Roman"/>
          <w:i w:val="0"/>
          <w:iCs w:val="0"/>
          <w:caps w:val="0"/>
          <w:color w:val="3D3D3D"/>
          <w:spacing w:val="0"/>
          <w:sz w:val="24"/>
          <w:szCs w:val="24"/>
        </w:rPr>
      </w:pP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3D3D3D"/>
          <w:spacing w:val="0"/>
          <w:sz w:val="32"/>
          <w:szCs w:val="32"/>
          <w:shd w:val="clear" w:fill="FFFFFF"/>
        </w:rPr>
        <w:t>三、收到和处理政府信息公开申请情况</w:t>
      </w:r>
    </w:p>
    <w:tbl>
      <w:tblPr>
        <w:tblStyle w:val="3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62"/>
        <w:gridCol w:w="980"/>
        <w:gridCol w:w="3176"/>
        <w:gridCol w:w="669"/>
        <w:gridCol w:w="669"/>
        <w:gridCol w:w="669"/>
        <w:gridCol w:w="669"/>
        <w:gridCol w:w="669"/>
        <w:gridCol w:w="728"/>
        <w:gridCol w:w="757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20" w:type="dxa"/>
            <w:gridSpan w:val="3"/>
            <w:vMerge w:val="restart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left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（本列数据的勾稽关系为：第一项加第二项之和，等于第三项加第四项之和）</w:t>
            </w:r>
          </w:p>
        </w:tc>
        <w:tc>
          <w:tcPr>
            <w:tcW w:w="4815" w:type="dxa"/>
            <w:gridSpan w:val="7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申请人情况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20" w:type="dxa"/>
            <w:gridSpan w:val="3"/>
            <w:vMerge w:val="continue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5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自然人</w:t>
            </w:r>
          </w:p>
        </w:tc>
        <w:tc>
          <w:tcPr>
            <w:tcW w:w="343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法人或其他组织</w:t>
            </w:r>
          </w:p>
        </w:tc>
        <w:tc>
          <w:tcPr>
            <w:tcW w:w="675" w:type="dxa"/>
            <w:vMerge w:val="restart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总计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20" w:type="dxa"/>
            <w:gridSpan w:val="3"/>
            <w:vMerge w:val="continue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商业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企业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科研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机构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社会公益组织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法律服务机构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其他</w:t>
            </w:r>
          </w:p>
        </w:tc>
        <w:tc>
          <w:tcPr>
            <w:tcW w:w="675" w:type="dxa"/>
            <w:vMerge w:val="continue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20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left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一、本年新收政府信息公开申请数量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47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47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20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left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二、上年结转政府信息公开申请数量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1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5" w:type="dxa"/>
            <w:vMerge w:val="restart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left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三、本年度办理结果</w:t>
            </w:r>
          </w:p>
        </w:tc>
        <w:tc>
          <w:tcPr>
            <w:tcW w:w="415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left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（一）予以公开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5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5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5" w:type="dxa"/>
            <w:vMerge w:val="continue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left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（二）部分公开（区分处理的，只计这一情形，不计其他情形）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7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7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5" w:type="dxa"/>
            <w:vMerge w:val="continue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0" w:type="dxa"/>
            <w:vMerge w:val="restart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left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（三）不予公开</w:t>
            </w:r>
          </w:p>
        </w:tc>
        <w:tc>
          <w:tcPr>
            <w:tcW w:w="32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left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1.属于国家秘密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5" w:type="dxa"/>
            <w:vMerge w:val="continue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0" w:type="dxa"/>
            <w:vMerge w:val="continue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left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2.其他法律行政法规禁止公开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5" w:type="dxa"/>
            <w:vMerge w:val="continue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0" w:type="dxa"/>
            <w:vMerge w:val="continue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left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3.危及“三安全一稳定”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5" w:type="dxa"/>
            <w:vMerge w:val="continue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0" w:type="dxa"/>
            <w:vMerge w:val="continue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left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4.保护第三方合法权益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5" w:type="dxa"/>
            <w:vMerge w:val="continue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0" w:type="dxa"/>
            <w:vMerge w:val="continue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left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5.属于三类内部事务信息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1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5" w:type="dxa"/>
            <w:vMerge w:val="continue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0" w:type="dxa"/>
            <w:vMerge w:val="continue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left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6.属于四类过程性信息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1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5" w:type="dxa"/>
            <w:vMerge w:val="continue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0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left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32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left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7.属于行政执法案卷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5" w:type="dxa"/>
            <w:vMerge w:val="continue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left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8.属于行政查询事项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1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5" w:type="dxa"/>
            <w:vMerge w:val="continue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0" w:type="dxa"/>
            <w:vMerge w:val="restart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left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（四）无法提供</w:t>
            </w:r>
          </w:p>
        </w:tc>
        <w:tc>
          <w:tcPr>
            <w:tcW w:w="32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left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1.本机关不掌握相关政府信息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28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28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5" w:type="dxa"/>
            <w:vMerge w:val="continue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0" w:type="dxa"/>
            <w:vMerge w:val="continue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left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2.没有现成信息需要另行制作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5" w:type="dxa"/>
            <w:vMerge w:val="continue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0" w:type="dxa"/>
            <w:vMerge w:val="continue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left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3.补正后申请内容仍不明确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5" w:type="dxa"/>
            <w:vMerge w:val="continue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0" w:type="dxa"/>
            <w:vMerge w:val="restart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left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（五）不予处理</w:t>
            </w:r>
          </w:p>
        </w:tc>
        <w:tc>
          <w:tcPr>
            <w:tcW w:w="32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left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1.信访举报投诉类申请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1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5" w:type="dxa"/>
            <w:vMerge w:val="continue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0" w:type="dxa"/>
            <w:vMerge w:val="continue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left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2.重复申请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5" w:type="dxa"/>
            <w:vMerge w:val="continue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0" w:type="dxa"/>
            <w:vMerge w:val="continue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left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3.要求提供公开出版物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5" w:type="dxa"/>
            <w:vMerge w:val="continue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0" w:type="dxa"/>
            <w:vMerge w:val="continue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left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4.无正当理由大量反复申请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5" w:type="dxa"/>
            <w:vMerge w:val="continue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0" w:type="dxa"/>
            <w:vMerge w:val="continue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0" w:type="dxa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left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5.要求行政机关确认或重新出具已获取信息</w:t>
            </w:r>
          </w:p>
        </w:tc>
        <w:tc>
          <w:tcPr>
            <w:tcW w:w="675" w:type="dxa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5" w:type="dxa"/>
            <w:vMerge w:val="continue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0" w:type="dxa"/>
            <w:vMerge w:val="restart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left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（六）其他处理</w:t>
            </w:r>
          </w:p>
        </w:tc>
        <w:tc>
          <w:tcPr>
            <w:tcW w:w="32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left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1.申请人无正当理由逾期不补正、行政机关不再处理其政府信息公开申请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1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5" w:type="dxa"/>
            <w:vMerge w:val="continue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0" w:type="dxa"/>
            <w:vMerge w:val="continue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left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2.申请人逾期未按收费通知要求缴纳费用、行政机关不再处理其政府信息公开申请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5" w:type="dxa"/>
            <w:vMerge w:val="continue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0" w:type="dxa"/>
            <w:vMerge w:val="continue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left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3.其他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5" w:type="dxa"/>
            <w:vMerge w:val="continue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left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（七）总计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45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45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20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left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四、结转下年度继续办理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3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3</w:t>
            </w:r>
          </w:p>
        </w:tc>
      </w:tr>
    </w:tbl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225" w:afterAutospacing="0"/>
        <w:ind w:left="0" w:right="0" w:firstLine="0" w:firstLineChars="0"/>
        <w:jc w:val="both"/>
        <w:textAlignment w:val="auto"/>
        <w:rPr>
          <w:rFonts w:hint="default" w:ascii="Times New Roman" w:hAnsi="Times New Roman" w:eastAsia="微软雅黑" w:cs="Times New Roman"/>
          <w:i w:val="0"/>
          <w:iCs w:val="0"/>
          <w:caps w:val="0"/>
          <w:color w:val="3D3D3D"/>
          <w:spacing w:val="0"/>
          <w:sz w:val="24"/>
          <w:szCs w:val="24"/>
        </w:rPr>
      </w:pP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3D3D3D"/>
          <w:spacing w:val="0"/>
          <w:sz w:val="32"/>
          <w:szCs w:val="32"/>
          <w:shd w:val="clear" w:fill="FFFFFF"/>
        </w:rPr>
        <w:t>四、政府信息公开行政复议、行政诉讼情况</w:t>
      </w:r>
    </w:p>
    <w:tbl>
      <w:tblPr>
        <w:tblStyle w:val="3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45"/>
        <w:gridCol w:w="645"/>
        <w:gridCol w:w="646"/>
        <w:gridCol w:w="646"/>
        <w:gridCol w:w="661"/>
        <w:gridCol w:w="646"/>
        <w:gridCol w:w="646"/>
        <w:gridCol w:w="646"/>
        <w:gridCol w:w="646"/>
        <w:gridCol w:w="661"/>
        <w:gridCol w:w="646"/>
        <w:gridCol w:w="646"/>
        <w:gridCol w:w="646"/>
        <w:gridCol w:w="646"/>
        <w:gridCol w:w="676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24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行政复议</w:t>
            </w:r>
          </w:p>
        </w:tc>
        <w:tc>
          <w:tcPr>
            <w:tcW w:w="6495" w:type="dxa"/>
            <w:gridSpan w:val="10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行政诉讼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45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结果维持</w:t>
            </w:r>
          </w:p>
        </w:tc>
        <w:tc>
          <w:tcPr>
            <w:tcW w:w="645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结果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纠正</w:t>
            </w:r>
          </w:p>
        </w:tc>
        <w:tc>
          <w:tcPr>
            <w:tcW w:w="645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其他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结果</w:t>
            </w:r>
          </w:p>
        </w:tc>
        <w:tc>
          <w:tcPr>
            <w:tcW w:w="645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尚未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审结</w:t>
            </w:r>
          </w:p>
        </w:tc>
        <w:tc>
          <w:tcPr>
            <w:tcW w:w="645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总计</w:t>
            </w:r>
          </w:p>
        </w:tc>
        <w:tc>
          <w:tcPr>
            <w:tcW w:w="324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未经复议直接起诉</w:t>
            </w:r>
          </w:p>
        </w:tc>
        <w:tc>
          <w:tcPr>
            <w:tcW w:w="324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复议后起诉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4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结果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维持</w:t>
            </w:r>
          </w:p>
        </w:tc>
        <w:tc>
          <w:tcPr>
            <w:tcW w:w="64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结果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纠正</w:t>
            </w:r>
          </w:p>
        </w:tc>
        <w:tc>
          <w:tcPr>
            <w:tcW w:w="64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其他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结果</w:t>
            </w:r>
          </w:p>
        </w:tc>
        <w:tc>
          <w:tcPr>
            <w:tcW w:w="64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尚未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审结</w:t>
            </w:r>
          </w:p>
        </w:tc>
        <w:tc>
          <w:tcPr>
            <w:tcW w:w="64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总计</w:t>
            </w:r>
          </w:p>
        </w:tc>
        <w:tc>
          <w:tcPr>
            <w:tcW w:w="64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结果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维持</w:t>
            </w:r>
          </w:p>
        </w:tc>
        <w:tc>
          <w:tcPr>
            <w:tcW w:w="64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结果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纠正</w:t>
            </w:r>
          </w:p>
        </w:tc>
        <w:tc>
          <w:tcPr>
            <w:tcW w:w="64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其他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结果</w:t>
            </w:r>
          </w:p>
        </w:tc>
        <w:tc>
          <w:tcPr>
            <w:tcW w:w="64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尚未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审结</w:t>
            </w:r>
          </w:p>
        </w:tc>
        <w:tc>
          <w:tcPr>
            <w:tcW w:w="64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总计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4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 3</w:t>
            </w:r>
          </w:p>
        </w:tc>
        <w:tc>
          <w:tcPr>
            <w:tcW w:w="64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4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4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4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 3</w:t>
            </w:r>
          </w:p>
        </w:tc>
        <w:tc>
          <w:tcPr>
            <w:tcW w:w="64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4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4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4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4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4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3</w:t>
            </w:r>
          </w:p>
        </w:tc>
        <w:tc>
          <w:tcPr>
            <w:tcW w:w="64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4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4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64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225" w:afterAutospacing="0"/>
              <w:ind w:left="0" w:right="0" w:firstLine="0" w:firstLineChars="0"/>
              <w:jc w:val="center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32"/>
                <w:szCs w:val="32"/>
                <w:lang w:val="en-US" w:eastAsia="zh-CN" w:bidi="ar"/>
              </w:rPr>
              <w:t>3</w:t>
            </w:r>
          </w:p>
        </w:tc>
      </w:tr>
    </w:tbl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left"/>
        <w:textAlignment w:val="auto"/>
        <w:rPr>
          <w:rFonts w:hint="default" w:ascii="Times New Roman" w:hAnsi="Times New Roman" w:eastAsia="方正仿宋_GBK" w:cs="Times New Roman"/>
          <w:i w:val="0"/>
          <w:iCs w:val="0"/>
          <w:caps w:val="0"/>
          <w:color w:val="3D3D3D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3D3D3D"/>
          <w:spacing w:val="0"/>
          <w:kern w:val="0"/>
          <w:sz w:val="32"/>
          <w:szCs w:val="32"/>
          <w:shd w:val="clear" w:fill="FFFFFF"/>
          <w:lang w:val="en-US" w:eastAsia="zh-CN" w:bidi="ar"/>
        </w:rPr>
        <w:t>  五、存在的主要问题及改进情况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left"/>
        <w:textAlignment w:val="auto"/>
        <w:rPr>
          <w:rFonts w:hint="default" w:ascii="Times New Roman" w:hAnsi="Times New Roman" w:eastAsia="方正仿宋_GBK" w:cs="Times New Roman"/>
          <w:i w:val="0"/>
          <w:iCs w:val="0"/>
          <w:caps w:val="0"/>
          <w:color w:val="3D3D3D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3D3D3D"/>
          <w:spacing w:val="0"/>
          <w:kern w:val="0"/>
          <w:sz w:val="32"/>
          <w:szCs w:val="32"/>
          <w:shd w:val="clear" w:fill="FFFFFF"/>
          <w:lang w:val="en-US" w:eastAsia="zh-CN" w:bidi="ar"/>
        </w:rPr>
        <w:t>  过去一年，亳州市人民政府办公室的政府信息公开工作得到进一步提升，但距离人民群众新需求新期待还有一定差距和不足。主要是：部分政策文件解读质量不高、行政规范性文件起草程序征求意见不充分等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left"/>
        <w:textAlignment w:val="auto"/>
        <w:rPr>
          <w:rFonts w:hint="default" w:ascii="Times New Roman" w:hAnsi="Times New Roman" w:eastAsia="方正仿宋_GBK" w:cs="Times New Roman"/>
          <w:i w:val="0"/>
          <w:iCs w:val="0"/>
          <w:caps w:val="0"/>
          <w:color w:val="3D3D3D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3D3D3D"/>
          <w:spacing w:val="0"/>
          <w:kern w:val="0"/>
          <w:sz w:val="32"/>
          <w:szCs w:val="32"/>
          <w:shd w:val="clear" w:fill="FFFFFF"/>
          <w:lang w:val="en-US" w:eastAsia="zh-CN" w:bidi="ar"/>
        </w:rPr>
        <w:t>  2022年将结合当前政府信息公开工作的新形势新任务，重点开展以下工作：一是深入推进基层政务公开标准化规范化建设。二是提升政策解读质量，以数字化、图表图解、音频、视频、动漫等形式，准确、形象、生动地解读政策文件。三是进一步提高规范性文件制发质量，注重源头把控，除依法需要保密的外，对涉及群众切身利益或者对公民、法人和其他组织权利义务有重大影响的行政规范性文件，要充分征求社会公开和利益相关方意见。四是优化政府信息公开平台建设，对标中国政府网等网站，推进政府信息公开取得新进展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left"/>
        <w:textAlignment w:val="auto"/>
        <w:rPr>
          <w:rFonts w:hint="default" w:ascii="Times New Roman" w:hAnsi="Times New Roman" w:eastAsia="方正仿宋_GBK" w:cs="Times New Roman"/>
          <w:i w:val="0"/>
          <w:iCs w:val="0"/>
          <w:caps w:val="0"/>
          <w:color w:val="3D3D3D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3D3D3D"/>
          <w:spacing w:val="0"/>
          <w:kern w:val="0"/>
          <w:sz w:val="32"/>
          <w:szCs w:val="32"/>
          <w:shd w:val="clear" w:fill="FFFFFF"/>
          <w:lang w:val="en-US" w:eastAsia="zh-CN" w:bidi="ar"/>
        </w:rPr>
        <w:t>  六、其他需要报告的事项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left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3D3D3D"/>
          <w:spacing w:val="0"/>
          <w:kern w:val="0"/>
          <w:sz w:val="32"/>
          <w:szCs w:val="32"/>
          <w:shd w:val="clear" w:fill="FFFFFF"/>
          <w:lang w:val="en-US" w:eastAsia="zh-CN" w:bidi="ar"/>
        </w:rPr>
        <w:t>  按照《国务院办公厅关于印发〈政府信息公开信息处理费管理办法〉的通知》（国办函〔2020〕109 号）规定的按件、按量收费标准，本年度没有产生信息公开处理费。无其他需要报告事项。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textAlignment w:val="auto"/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cyNjc3YWM5NGYyODYxNDE1ODhkZTI5ZTViNmNkZDAifQ=="/>
  </w:docVars>
  <w:rsids>
    <w:rsidRoot w:val="00000000"/>
    <w:rsid w:val="252E037C"/>
    <w:rsid w:val="257B58D3"/>
    <w:rsid w:val="3324411F"/>
    <w:rsid w:val="57FD3876"/>
    <w:rsid w:val="6DFB5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2532</Words>
  <Characters>2643</Characters>
  <Lines>0</Lines>
  <Paragraphs>0</Paragraphs>
  <TotalTime>2</TotalTime>
  <ScaleCrop>false</ScaleCrop>
  <LinksUpToDate>false</LinksUpToDate>
  <CharactersWithSpaces>2658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2023-02-03T07:52:00Z</dcterms:created>
  <dc:creator>Administrator</dc:creator>
  <cp:lastModifiedBy>Administrator</cp:lastModifiedBy>
  <dcterms:modified xsi:type="dcterms:W3CDTF">2024-01-31T03:49:06Z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9017BC72E10A4A7284FC080EB074F056</vt:lpwstr>
  </property>
</Properties>
</file>