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00" w:lineRule="exact"/>
        <w:jc w:val="center"/>
        <w:outlineLvl w:val="0"/>
        <w:rPr>
          <w:rFonts w:ascii="Times New Roman" w:hAnsi="Times New Roman" w:eastAsia="方正小标宋简体" w:cs="Times New Roman"/>
          <w:color w:val="333333"/>
          <w:sz w:val="44"/>
          <w:szCs w:val="44"/>
          <w:shd w:val="clear" w:color="auto" w:fill="FFFFFF"/>
        </w:rPr>
      </w:pPr>
      <w:r>
        <w:rPr>
          <w:rFonts w:ascii="Times New Roman" w:hAnsi="Times New Roman" w:eastAsia="方正小标宋简体" w:cs="Times New Roman"/>
          <w:color w:val="333333"/>
          <w:sz w:val="44"/>
          <w:szCs w:val="44"/>
          <w:shd w:val="clear" w:color="auto" w:fill="FFFFFF"/>
        </w:rPr>
        <w:t>亳州市人民政府2023年</w:t>
      </w:r>
    </w:p>
    <w:p>
      <w:pPr>
        <w:widowControl/>
        <w:shd w:val="clear" w:color="auto" w:fill="FFFFFF"/>
        <w:spacing w:line="600" w:lineRule="exact"/>
        <w:jc w:val="center"/>
        <w:outlineLvl w:val="0"/>
        <w:rPr>
          <w:rFonts w:ascii="Times New Roman" w:hAnsi="Times New Roman" w:eastAsia="方正小标宋简体" w:cs="Times New Roman"/>
          <w:color w:val="333333"/>
          <w:sz w:val="44"/>
          <w:szCs w:val="44"/>
          <w:shd w:val="clear" w:color="auto" w:fill="FFFFFF"/>
        </w:rPr>
      </w:pPr>
      <w:r>
        <w:rPr>
          <w:rFonts w:ascii="Times New Roman" w:hAnsi="Times New Roman" w:eastAsia="方正小标宋简体" w:cs="Times New Roman"/>
          <w:color w:val="333333"/>
          <w:sz w:val="44"/>
          <w:szCs w:val="44"/>
          <w:shd w:val="clear" w:color="auto" w:fill="FFFFFF"/>
        </w:rPr>
        <w:t>政府信息公开工作报告</w:t>
      </w:r>
    </w:p>
    <w:p>
      <w:pPr>
        <w:rPr>
          <w:rFonts w:ascii="Times New Roman" w:hAnsi="Times New Roman" w:eastAsia="方正仿宋_GBK" w:cs="Times New Roman"/>
          <w:color w:val="333333"/>
          <w:spacing w:val="8"/>
          <w:sz w:val="32"/>
          <w:szCs w:val="32"/>
          <w:shd w:val="clear" w:color="auto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ascii="Calibri" w:hAnsi="Calibri" w:cs="Calibri"/>
          <w:sz w:val="21"/>
          <w:szCs w:val="21"/>
        </w:rPr>
      </w:pPr>
      <w:r>
        <w:rPr>
          <w:rFonts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根据《中华人民共和国政府信息公开条例》（国务院令第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711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号）、《国务院办公厅政府信息与政务公开办公室关于印发〈中华人民共和国政府信息公开工作年度报告格式〉的通知》（国办公开办函〔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30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号）规定，</w:t>
      </w:r>
      <w:r>
        <w:rPr>
          <w:rFonts w:hint="eastAsia" w:ascii="方正仿宋_GBK" w:hAnsi="方正仿宋_GBK" w:eastAsia="方正仿宋_GBK" w:cs="方正仿宋_GBK"/>
          <w:color w:val="333333"/>
          <w:sz w:val="32"/>
          <w:szCs w:val="32"/>
          <w:shd w:val="clear" w:fill="FFFFFF"/>
        </w:rPr>
        <w:t>发布《亳州市人民政府</w:t>
      </w:r>
      <w:r>
        <w:rPr>
          <w:rFonts w:hint="default" w:ascii="Times New Roman" w:hAnsi="Times New Roman" w:cs="Times New Roman"/>
          <w:color w:val="333333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z w:val="32"/>
          <w:szCs w:val="32"/>
          <w:shd w:val="clear" w:fill="FFFFFF"/>
        </w:rPr>
        <w:t>年度政府信息公开工作报告》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。本年度报告电子版可从亳州市人民政府网站（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www.bozhou.gov.cn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）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“政府信息公开年报”专栏下载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。报告中所列数据统计期限自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日起，至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12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31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日止。如对报告内容有疑问，请与亳州市政府办公室联系（地址：安徽省亳州市希夷大道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588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号；邮编：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236800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；电话：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0558—5555840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）。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ascii="方正黑体_GBK" w:hAnsi="方正黑体_GBK" w:eastAsia="方正黑体_GBK" w:cs="方正黑体_GBK"/>
          <w:color w:val="333333"/>
          <w:spacing w:val="8"/>
          <w:sz w:val="32"/>
          <w:szCs w:val="32"/>
          <w:shd w:val="clear" w:fill="FFFFFF"/>
        </w:rPr>
        <w:t>一、总体情况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，亳州市人民政府坚持以习近平新时代中国特色社会主义思想为指导，深入学习贯彻党的二十大精神，按照党中央、国务院决策部署，省委、省政府和市委、市政府工作要求，加大政策公开力度，深化政策宣传解读，切实优化公开方式，持续推动政务公开工作落地落实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ascii="方正楷体_GBK" w:hAnsi="方正楷体_GBK" w:eastAsia="方正楷体_GBK" w:cs="方正楷体_GBK"/>
          <w:color w:val="333333"/>
          <w:spacing w:val="8"/>
          <w:sz w:val="32"/>
          <w:szCs w:val="32"/>
          <w:shd w:val="clear" w:fill="FFFFFF"/>
        </w:rPr>
        <w:t>（一）主动公开政府信息。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按照《中华人民共和国政府信息公开条例》规定，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年度围绕规划计划、行政权力运行、财政预决算信息等主动公开各类政府信息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1.5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万条。印发政务公开重点工作任务分工，指导推动各级各部门做好政务公开工作，通过政府公报、政府网站、政务新媒体等渠道，及时发布各项政策措施，准确传递权威信息。持续推进重点领域信息公开，围绕经济发展、民生保障等不断加大公开力度。深化基层政务公开标准化规范化建设，着力推动基层政务公开向农村、社区延伸，及时公开涉农补贴各类信息，助力提升基层社会治理水平。围绕教育、交通、医疗卫生、水电热气等领域推动企事业单位信息公开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color w:val="333333"/>
          <w:spacing w:val="8"/>
          <w:sz w:val="32"/>
          <w:szCs w:val="32"/>
          <w:shd w:val="clear" w:fill="FFFFFF"/>
        </w:rPr>
        <w:t>（二）依申请公开办理。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进一步规范依申请公开办理程序和答复内容，加强部门联动和沟通协调。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年全市办理政府信息公开申请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741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件，比上年增长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43.05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%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，其中予以公开占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31.44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%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、不予公开占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6.61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%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、因本机关不掌握等原因无法提供占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36.03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%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。土地征收、房屋拆迁补偿等领域在政府信息公开申请中占比较高。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color w:val="333333"/>
          <w:spacing w:val="8"/>
          <w:sz w:val="32"/>
          <w:szCs w:val="32"/>
          <w:shd w:val="clear" w:fill="FFFFFF"/>
        </w:rPr>
        <w:t>（三）政府信息管理。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围绕市委、市政府中心工作，市政府办公室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年推出重要政策解读</w:t>
      </w:r>
      <w:r>
        <w:rPr>
          <w:rFonts w:hint="default" w:ascii="Times New Roman" w:hAnsi="Times New Roman" w:eastAsia="方正仿宋_GBK" w:cs="Times New Roman"/>
          <w:color w:val="333333"/>
          <w:spacing w:val="8"/>
          <w:sz w:val="32"/>
          <w:szCs w:val="32"/>
          <w:shd w:val="clear" w:fill="FFFFFF"/>
        </w:rPr>
        <w:t>78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篇，综合采用文字、长图、视频等方式解读政策。推动各县区政府网站开设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“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一站式政策解读平台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”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，不断提升政策知晓度、获取便利度。编印亳州政报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6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期。进一步加强规章和行政规范性文件管理，做好现行有效行政规范性文件统一公开工作，对已废止的行政规范性文件进行标注。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color w:val="333333"/>
          <w:spacing w:val="8"/>
          <w:sz w:val="32"/>
          <w:szCs w:val="32"/>
          <w:shd w:val="clear" w:fill="FFFFFF"/>
        </w:rPr>
        <w:t>（四）政府信息公开平台建设。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深入推进全市政府门户网站集约化建设和信息共享集成，强化稿件发布三级审核机制，按月对全市政府网站进行常态化监测，整体合格率超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99%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。对所有政务新媒体开展全覆盖检查，指导推动各级政务新媒体矩阵协同联动、集中发声。全面推进政务新媒体规范化建设，清理整合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“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僵尸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”“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睡眠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”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和弱运营账号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32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个。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楷体_GBK" w:hAnsi="方正楷体_GBK" w:eastAsia="方正楷体_GBK" w:cs="方正楷体_GBK"/>
          <w:color w:val="333333"/>
          <w:spacing w:val="8"/>
          <w:sz w:val="32"/>
          <w:szCs w:val="32"/>
          <w:shd w:val="clear" w:fill="FFFFFF"/>
        </w:rPr>
        <w:t>（五）监督保障。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继续将政务公开工作纳入政府目标绩效管理考核内容。定期开展政务公开评估，对发现的问题督促有关部门和县区及时予以整改。对政务公开工作成绩突出的单位和个人，按有关规定予以褒扬激励。常态化开展政务公开业务培训，进一步提升政务公开队伍整体素质。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年无政府信息公开工作责任追究情况。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二、主动公开政府信息情况</w:t>
      </w:r>
    </w:p>
    <w:tbl>
      <w:tblPr>
        <w:tblW w:w="94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1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本年废止件数</w:t>
            </w:r>
          </w:p>
        </w:tc>
        <w:tc>
          <w:tcPr>
            <w:tcW w:w="21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108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115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1825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行政许可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218055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行政处罚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35064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行政强制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184188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行政事业性收费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17475.57916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三、收到和处理政府信息公开申请情况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商业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企业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科研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725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741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1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227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233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4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116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危及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“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三安全一稳定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5.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6.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7.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8.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252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259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8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4.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5.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1.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2.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3.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54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55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722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737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8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四、政府信息公开行政复议、行政诉讼情况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尚未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尚未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其他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尚未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1"/>
                <w:szCs w:val="21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23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default" w:ascii="Calibri" w:hAnsi="Calibri" w:cs="Calibri"/>
          <w:sz w:val="21"/>
          <w:szCs w:val="21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color w:val="333333"/>
          <w:spacing w:val="8"/>
          <w:sz w:val="32"/>
          <w:szCs w:val="32"/>
          <w:shd w:val="clear" w:fill="FFFFFF"/>
        </w:rPr>
        <w:t>五、存在问题及改进情况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2023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年，我市政务公开各项工作取得积极进展，但还存在一些问题和不足，主要是：政策宣传解读效果需要进一步加强，政府信息管理的质量和水平需要进一步提高，政务公开队伍建设需要进一步强化等。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2024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年，将认真学习贯彻党的二十大精神，紧紧围绕党委、政府中心工作，加快转变政务公开职能，助力经济社会持续健康发展。一是高质量做好重大政策的宣传解读工作，继续开展优秀政策解读评选活动，更多采用新闻发布会等形式积极引导舆论，有效管理预期。二是持续优化基层办事公开制度，提升企业群众办事服务体验，进一步探索政务公开在服务基层治理、推进政策落实等方面作用。三是着力强化基层政务公开队伍能力建设。推动基层持续完善政务公开工作规范，加大政务公开、政府信息公开、政务新媒体工作培训力度，不断提升基层工作人员业务能力和水平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color w:val="333333"/>
          <w:spacing w:val="8"/>
          <w:sz w:val="32"/>
          <w:szCs w:val="32"/>
          <w:shd w:val="clear" w:fill="FFFFFF"/>
        </w:rPr>
        <w:t>六、其他需要报告的事项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72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按照《国务院办公厅关于印发〈政府信息公开信息处理费管理办法〉的通知》（国办函〔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2020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color w:val="333333"/>
          <w:spacing w:val="8"/>
          <w:sz w:val="32"/>
          <w:szCs w:val="32"/>
          <w:shd w:val="clear" w:fill="FFFFFF"/>
        </w:rPr>
        <w:t>109</w:t>
      </w:r>
      <w:r>
        <w:rPr>
          <w:rFonts w:hint="eastAsia" w:ascii="方正仿宋_GBK" w:hAnsi="方正仿宋_GBK" w:eastAsia="方正仿宋_GBK" w:cs="方正仿宋_GBK"/>
          <w:color w:val="333333"/>
          <w:spacing w:val="8"/>
          <w:sz w:val="32"/>
          <w:szCs w:val="32"/>
          <w:shd w:val="clear" w:fill="FFFFFF"/>
        </w:rPr>
        <w:t>号）规定的按件、按量收费标准，本年度没有产生信息公开处理费。</w:t>
      </w:r>
    </w:p>
    <w:p>
      <w:pPr>
        <w:rPr>
          <w:rFonts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1" w:fontKey="{F65C2C41-57B6-40C6-A5B2-2B4D15EDF91A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C89CC651-BC76-467C-9337-BE7A96C774D0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E0498F76-7F86-4FC5-A8BD-A4D0FB98D900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56DB752-26E7-4648-A957-CB0B2377293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Njc3YWM5NGYyODYxNDE1ODhkZTI5ZTViNmNkZDAifQ=="/>
  </w:docVars>
  <w:rsids>
    <w:rsidRoot w:val="004564A0"/>
    <w:rsid w:val="002A08CD"/>
    <w:rsid w:val="002C23C5"/>
    <w:rsid w:val="002F6756"/>
    <w:rsid w:val="004564A0"/>
    <w:rsid w:val="005070E6"/>
    <w:rsid w:val="0051044F"/>
    <w:rsid w:val="00672CB7"/>
    <w:rsid w:val="00685C67"/>
    <w:rsid w:val="007A474D"/>
    <w:rsid w:val="00827FD2"/>
    <w:rsid w:val="009C10F4"/>
    <w:rsid w:val="009E334D"/>
    <w:rsid w:val="00A558D3"/>
    <w:rsid w:val="00AA6041"/>
    <w:rsid w:val="00B31C25"/>
    <w:rsid w:val="00BB49A6"/>
    <w:rsid w:val="00C30209"/>
    <w:rsid w:val="00D46BDC"/>
    <w:rsid w:val="00D51F2E"/>
    <w:rsid w:val="00DC1057"/>
    <w:rsid w:val="00E36ED7"/>
    <w:rsid w:val="00E760AF"/>
    <w:rsid w:val="00FE03BA"/>
    <w:rsid w:val="028E6142"/>
    <w:rsid w:val="0E056A05"/>
    <w:rsid w:val="1EA96F39"/>
    <w:rsid w:val="1FF71F26"/>
    <w:rsid w:val="236642FA"/>
    <w:rsid w:val="2F374A9E"/>
    <w:rsid w:val="3D015D3A"/>
    <w:rsid w:val="3EB10809"/>
    <w:rsid w:val="474B5845"/>
    <w:rsid w:val="4FB35448"/>
    <w:rsid w:val="51520A9D"/>
    <w:rsid w:val="57913F1C"/>
    <w:rsid w:val="5F5E1DB5"/>
    <w:rsid w:val="6345390E"/>
    <w:rsid w:val="6D28293F"/>
    <w:rsid w:val="71ED3561"/>
    <w:rsid w:val="747547C2"/>
    <w:rsid w:val="771C552E"/>
    <w:rsid w:val="7BA9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autoRedefine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1 Char"/>
    <w:basedOn w:val="5"/>
    <w:link w:val="2"/>
    <w:autoRedefine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2680</Words>
  <Characters>2825</Characters>
  <Lines>13</Lines>
  <Paragraphs>3</Paragraphs>
  <TotalTime>11</TotalTime>
  <ScaleCrop>false</ScaleCrop>
  <LinksUpToDate>false</LinksUpToDate>
  <CharactersWithSpaces>2862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2024-01-16T06:20:00Z</dcterms:created>
  <dc:creator>系统管理员</dc:creator>
  <cp:lastModifiedBy>Administrator</cp:lastModifiedBy>
  <dcterms:modified xsi:type="dcterms:W3CDTF">2024-07-26T08:29:32Z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9A37A7425E2F4E7EB4A5215D07D4083C_12</vt:lpwstr>
  </property>
</Properties>
</file>