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F19620">
      <w:pPr>
        <w:bidi w:val="0"/>
        <w:jc w:val="center"/>
        <w:rPr>
          <w:rFonts w:hint="eastAsia" w:asciiTheme="minorEastAsia" w:hAnsiTheme="minorEastAsia" w:eastAsiaTheme="minorEastAsia" w:cstheme="minorEastAsia"/>
          <w:sz w:val="44"/>
          <w:szCs w:val="44"/>
          <w:lang w:val="en-US" w:eastAsia="zh-CN"/>
        </w:rPr>
      </w:pPr>
    </w:p>
    <w:p w14:paraId="48B2B32A">
      <w:pPr>
        <w:jc w:val="both"/>
        <w:rPr>
          <w:rFonts w:hint="eastAsia" w:ascii="宋体" w:hAnsi="宋体" w:eastAsia="宋体" w:cs="宋体"/>
          <w:sz w:val="44"/>
          <w:szCs w:val="44"/>
        </w:rPr>
      </w:pPr>
    </w:p>
    <w:p w14:paraId="7C5DF538">
      <w:pPr>
        <w:pStyle w:val="7"/>
        <w:keepNext w:val="0"/>
        <w:keepLines w:val="0"/>
        <w:pageBreakBefore w:val="0"/>
        <w:widowControl w:val="0"/>
        <w:kinsoku/>
        <w:wordWrap/>
        <w:overflowPunct w:val="0"/>
        <w:topLinePunct w:val="0"/>
        <w:autoSpaceDE w:val="0"/>
        <w:autoSpaceDN/>
        <w:bidi w:val="0"/>
        <w:adjustRightInd/>
        <w:snapToGrid/>
        <w:spacing w:line="620" w:lineRule="exact"/>
        <w:ind w:left="0" w:leftChars="0" w:right="0" w:rightChars="0" w:firstLine="0" w:firstLineChars="0"/>
        <w:jc w:val="center"/>
        <w:textAlignment w:val="auto"/>
        <w:rPr>
          <w:rFonts w:hint="eastAsia" w:asciiTheme="majorEastAsia" w:hAnsiTheme="majorEastAsia" w:eastAsiaTheme="majorEastAsia" w:cstheme="majorEastAsia"/>
          <w:sz w:val="44"/>
          <w:szCs w:val="44"/>
          <w:lang w:val="en-US" w:eastAsia="zh-CN"/>
        </w:rPr>
      </w:pPr>
      <w:r>
        <w:rPr>
          <w:rFonts w:hint="eastAsia" w:asciiTheme="majorEastAsia" w:hAnsiTheme="majorEastAsia" w:eastAsiaTheme="majorEastAsia" w:cstheme="majorEastAsia"/>
          <w:sz w:val="44"/>
          <w:szCs w:val="44"/>
          <w:lang w:val="en-US" w:eastAsia="zh-CN"/>
        </w:rPr>
        <w:t>亳州市乡镇政府驻地污水处理设施</w:t>
      </w:r>
    </w:p>
    <w:p w14:paraId="08653E7B">
      <w:pPr>
        <w:jc w:val="center"/>
        <w:rPr>
          <w:rFonts w:hint="eastAsia" w:asciiTheme="majorEastAsia" w:hAnsiTheme="majorEastAsia" w:eastAsiaTheme="majorEastAsia" w:cstheme="majorEastAsia"/>
          <w:sz w:val="44"/>
          <w:szCs w:val="44"/>
          <w:lang w:val="en-US" w:eastAsia="zh-CN"/>
        </w:rPr>
      </w:pPr>
      <w:r>
        <w:rPr>
          <w:rFonts w:hint="eastAsia" w:asciiTheme="majorEastAsia" w:hAnsiTheme="majorEastAsia" w:eastAsiaTheme="majorEastAsia" w:cstheme="majorEastAsia"/>
          <w:sz w:val="44"/>
          <w:szCs w:val="44"/>
          <w:lang w:val="en-US" w:eastAsia="zh-CN"/>
        </w:rPr>
        <w:t>管理办法</w:t>
      </w:r>
    </w:p>
    <w:p w14:paraId="40927B53">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eastAsia="仿宋_GB2312" w:cs="Times New Roman"/>
          <w:color w:val="000000" w:themeColor="text1"/>
          <w:kern w:val="0"/>
          <w:sz w:val="32"/>
          <w:szCs w:val="32"/>
          <w:lang w:val="en-US" w:eastAsia="zh-CN"/>
          <w14:textFill>
            <w14:solidFill>
              <w14:schemeClr w14:val="tx1"/>
            </w14:solidFill>
          </w14:textFill>
        </w:rPr>
      </w:pPr>
      <w:r>
        <w:rPr>
          <w:rFonts w:hint="eastAsia" w:eastAsia="仿宋_GB2312" w:cs="Times New Roman"/>
          <w:color w:val="000000" w:themeColor="text1"/>
          <w:kern w:val="0"/>
          <w:sz w:val="32"/>
          <w:szCs w:val="32"/>
          <w:lang w:val="en-US" w:eastAsia="zh-CN"/>
          <w14:textFill>
            <w14:solidFill>
              <w14:schemeClr w14:val="tx1"/>
            </w14:solidFill>
          </w14:textFill>
        </w:rPr>
        <w:t>（</w:t>
      </w:r>
      <w:r>
        <w:rPr>
          <w:rFonts w:hint="eastAsia" w:ascii="楷体_GB2312" w:hAnsi="楷体_GB2312" w:eastAsia="楷体_GB2312" w:cs="楷体_GB2312"/>
          <w:i w:val="0"/>
          <w:caps w:val="0"/>
          <w:color w:val="333333"/>
          <w:spacing w:val="0"/>
          <w:sz w:val="32"/>
          <w:szCs w:val="32"/>
          <w:shd w:val="clear" w:fill="FFFFFF"/>
          <w:lang w:val="en-US" w:eastAsia="zh-CN"/>
        </w:rPr>
        <w:t>2024年12月9日市政府令第8号公布  自2025年2月1日起施行</w:t>
      </w:r>
      <w:r>
        <w:rPr>
          <w:rFonts w:hint="eastAsia" w:eastAsia="仿宋_GB2312" w:cs="Times New Roman"/>
          <w:color w:val="000000" w:themeColor="text1"/>
          <w:kern w:val="0"/>
          <w:sz w:val="32"/>
          <w:szCs w:val="32"/>
          <w:lang w:val="en-US" w:eastAsia="zh-CN"/>
          <w14:textFill>
            <w14:solidFill>
              <w14:schemeClr w14:val="tx1"/>
            </w14:solidFill>
          </w14:textFill>
        </w:rPr>
        <w:t>）</w:t>
      </w:r>
    </w:p>
    <w:p w14:paraId="76A77E61">
      <w:pPr>
        <w:pStyle w:val="2"/>
        <w:rPr>
          <w:rFonts w:hint="eastAsia"/>
          <w:lang w:val="en-US" w:eastAsia="zh-CN"/>
        </w:rPr>
      </w:pPr>
    </w:p>
    <w:p w14:paraId="65C29ED6">
      <w:pPr>
        <w:keepNext w:val="0"/>
        <w:keepLines w:val="0"/>
        <w:pageBreakBefore w:val="0"/>
        <w:widowControl w:val="0"/>
        <w:kinsoku/>
        <w:wordWrap/>
        <w:overflowPunct w:val="0"/>
        <w:topLinePunct w:val="0"/>
        <w:autoSpaceDE w:val="0"/>
        <w:autoSpaceDN/>
        <w:bidi w:val="0"/>
        <w:adjustRightInd/>
        <w:snapToGrid/>
        <w:spacing w:line="640" w:lineRule="exact"/>
        <w:ind w:left="0" w:leftChars="0" w:right="0" w:rightChars="0" w:firstLine="0" w:firstLineChars="0"/>
        <w:jc w:val="center"/>
        <w:textAlignment w:val="auto"/>
        <w:rPr>
          <w:rFonts w:hint="eastAsia" w:ascii="黑体" w:hAnsi="黑体" w:eastAsia="黑体" w:cs="黑体"/>
          <w:color w:val="auto"/>
          <w:sz w:val="32"/>
          <w:szCs w:val="32"/>
          <w:u w:val="none"/>
        </w:rPr>
      </w:pPr>
      <w:r>
        <w:rPr>
          <w:rFonts w:hint="eastAsia" w:ascii="黑体" w:hAnsi="黑体" w:eastAsia="黑体" w:cs="黑体"/>
          <w:color w:val="auto"/>
          <w:sz w:val="32"/>
          <w:szCs w:val="32"/>
          <w:u w:val="none"/>
        </w:rPr>
        <w:t>第一章</w:t>
      </w:r>
      <w:r>
        <w:rPr>
          <w:rFonts w:hint="eastAsia" w:ascii="黑体" w:hAnsi="黑体" w:eastAsia="黑体" w:cs="黑体"/>
          <w:color w:val="auto"/>
          <w:sz w:val="32"/>
          <w:szCs w:val="32"/>
          <w:u w:val="none"/>
          <w:lang w:val="en-US" w:eastAsia="zh-CN"/>
        </w:rPr>
        <w:t xml:space="preserve">  </w:t>
      </w:r>
      <w:r>
        <w:rPr>
          <w:rFonts w:hint="eastAsia" w:ascii="黑体" w:hAnsi="黑体" w:eastAsia="黑体" w:cs="黑体"/>
          <w:color w:val="auto"/>
          <w:sz w:val="32"/>
          <w:szCs w:val="32"/>
          <w:u w:val="none"/>
        </w:rPr>
        <w:t>总</w:t>
      </w:r>
      <w:r>
        <w:rPr>
          <w:rFonts w:hint="eastAsia" w:ascii="黑体" w:hAnsi="黑体" w:eastAsia="黑体" w:cs="黑体"/>
          <w:color w:val="auto"/>
          <w:sz w:val="32"/>
          <w:szCs w:val="32"/>
          <w:u w:val="none"/>
          <w:lang w:val="en-US" w:eastAsia="zh-CN"/>
        </w:rPr>
        <w:t xml:space="preserve">  </w:t>
      </w:r>
      <w:r>
        <w:rPr>
          <w:rFonts w:hint="eastAsia" w:ascii="黑体" w:hAnsi="黑体" w:eastAsia="黑体" w:cs="黑体"/>
          <w:color w:val="auto"/>
          <w:sz w:val="32"/>
          <w:szCs w:val="32"/>
          <w:u w:val="none"/>
        </w:rPr>
        <w:t>则</w:t>
      </w:r>
    </w:p>
    <w:p w14:paraId="07A605DA">
      <w:pPr>
        <w:pStyle w:val="2"/>
        <w:rPr>
          <w:rFonts w:hint="eastAsia"/>
        </w:rPr>
      </w:pPr>
    </w:p>
    <w:p w14:paraId="54029689">
      <w:pPr>
        <w:keepNext w:val="0"/>
        <w:keepLines w:val="0"/>
        <w:pageBreakBefore w:val="0"/>
        <w:widowControl w:val="0"/>
        <w:suppressLineNumbers w:val="0"/>
        <w:kinsoku/>
        <w:wordWrap/>
        <w:overflowPunct w:val="0"/>
        <w:topLinePunct w:val="0"/>
        <w:autoSpaceDE w:val="0"/>
        <w:autoSpaceDN/>
        <w:bidi w:val="0"/>
        <w:adjustRightInd/>
        <w:snapToGrid/>
        <w:spacing w:line="240" w:lineRule="auto"/>
        <w:ind w:firstLine="640" w:firstLineChars="200"/>
        <w:jc w:val="both"/>
        <w:textAlignment w:val="auto"/>
        <w:rPr>
          <w:rFonts w:hint="eastAsia" w:ascii="仿宋_GB2312" w:hAnsi="仿宋_GB2312" w:eastAsia="仿宋_GB2312" w:cs="仿宋_GB2312"/>
          <w:color w:val="auto"/>
          <w:sz w:val="32"/>
          <w:szCs w:val="32"/>
          <w:u w:val="none"/>
        </w:rPr>
      </w:pPr>
      <w:r>
        <w:rPr>
          <w:rFonts w:hint="default" w:ascii="黑体" w:hAnsi="黑体" w:eastAsia="黑体" w:cs="黑体"/>
          <w:color w:val="auto"/>
          <w:sz w:val="32"/>
          <w:szCs w:val="32"/>
          <w:u w:val="none"/>
        </w:rPr>
        <w:t>第一条</w:t>
      </w:r>
      <w:r>
        <w:rPr>
          <w:rFonts w:hint="default" w:ascii="Times New Roman" w:hAnsi="Times New Roman" w:eastAsia="方正楷体_GBK" w:cs="Times New Roman"/>
          <w:color w:val="auto"/>
          <w:sz w:val="32"/>
          <w:szCs w:val="32"/>
          <w:u w:val="none"/>
        </w:rPr>
        <w:t xml:space="preserve"> </w:t>
      </w:r>
      <w:r>
        <w:rPr>
          <w:rFonts w:hint="default" w:ascii="Times New Roman" w:hAnsi="Times New Roman" w:eastAsia="方正仿宋_GBK" w:cs="Times New Roman"/>
          <w:color w:val="auto"/>
          <w:sz w:val="32"/>
          <w:szCs w:val="32"/>
          <w:u w:val="none"/>
        </w:rPr>
        <w:t xml:space="preserve"> </w:t>
      </w:r>
      <w:r>
        <w:rPr>
          <w:rFonts w:hint="eastAsia" w:ascii="仿宋_GB2312" w:hAnsi="仿宋_GB2312" w:eastAsia="仿宋_GB2312" w:cs="仿宋_GB2312"/>
          <w:color w:val="auto"/>
          <w:sz w:val="32"/>
          <w:szCs w:val="32"/>
          <w:u w:val="none"/>
        </w:rPr>
        <w:t>为</w:t>
      </w:r>
      <w:r>
        <w:rPr>
          <w:rFonts w:hint="eastAsia" w:ascii="仿宋_GB2312" w:hAnsi="仿宋_GB2312" w:eastAsia="仿宋_GB2312" w:cs="仿宋_GB2312"/>
          <w:color w:val="auto"/>
          <w:sz w:val="32"/>
          <w:szCs w:val="32"/>
          <w:u w:val="none"/>
          <w:lang w:val="en-US" w:eastAsia="zh-CN"/>
        </w:rPr>
        <w:t>加强</w:t>
      </w:r>
      <w:r>
        <w:rPr>
          <w:rFonts w:hint="eastAsia" w:ascii="仿宋_GB2312" w:hAnsi="仿宋_GB2312" w:eastAsia="仿宋_GB2312" w:cs="仿宋_GB2312"/>
          <w:color w:val="auto"/>
          <w:sz w:val="32"/>
          <w:szCs w:val="32"/>
          <w:u w:val="none"/>
          <w:lang w:eastAsia="zh-CN"/>
        </w:rPr>
        <w:t>乡镇政府驻地</w:t>
      </w:r>
      <w:r>
        <w:rPr>
          <w:rFonts w:hint="eastAsia" w:ascii="仿宋_GB2312" w:hAnsi="仿宋_GB2312" w:eastAsia="仿宋_GB2312" w:cs="仿宋_GB2312"/>
          <w:color w:val="auto"/>
          <w:sz w:val="32"/>
          <w:szCs w:val="32"/>
          <w:u w:val="none"/>
        </w:rPr>
        <w:t>污水</w:t>
      </w:r>
      <w:r>
        <w:rPr>
          <w:rFonts w:hint="eastAsia" w:ascii="仿宋_GB2312" w:hAnsi="仿宋_GB2312" w:eastAsia="仿宋_GB2312" w:cs="仿宋_GB2312"/>
          <w:color w:val="auto"/>
          <w:sz w:val="32"/>
          <w:szCs w:val="32"/>
          <w:u w:val="none"/>
          <w:lang w:val="en-US" w:eastAsia="zh-CN"/>
        </w:rPr>
        <w:t>设施管理</w:t>
      </w:r>
      <w:r>
        <w:rPr>
          <w:rFonts w:hint="eastAsia" w:ascii="仿宋_GB2312" w:hAnsi="仿宋_GB2312" w:eastAsia="仿宋_GB2312" w:cs="仿宋_GB2312"/>
          <w:color w:val="auto"/>
          <w:sz w:val="32"/>
          <w:szCs w:val="32"/>
          <w:u w:val="none"/>
        </w:rPr>
        <w:t>，</w:t>
      </w:r>
      <w:r>
        <w:rPr>
          <w:rFonts w:hint="eastAsia" w:ascii="仿宋_GB2312" w:hAnsi="仿宋_GB2312" w:eastAsia="仿宋_GB2312" w:cs="仿宋_GB2312"/>
          <w:color w:val="auto"/>
          <w:sz w:val="32"/>
          <w:szCs w:val="32"/>
          <w:u w:val="none"/>
          <w:lang w:eastAsia="zh-CN"/>
        </w:rPr>
        <w:t>积极探索</w:t>
      </w:r>
      <w:r>
        <w:rPr>
          <w:rFonts w:hint="eastAsia" w:ascii="仿宋_GB2312" w:hAnsi="仿宋_GB2312" w:eastAsia="仿宋_GB2312" w:cs="仿宋_GB2312"/>
          <w:color w:val="auto"/>
          <w:sz w:val="32"/>
          <w:szCs w:val="32"/>
          <w:u w:val="none"/>
          <w:lang w:val="en-US" w:eastAsia="zh-CN"/>
        </w:rPr>
        <w:t>污水处理</w:t>
      </w:r>
      <w:r>
        <w:rPr>
          <w:rFonts w:hint="eastAsia" w:ascii="仿宋_GB2312" w:hAnsi="仿宋_GB2312" w:eastAsia="仿宋_GB2312" w:cs="仿宋_GB2312"/>
          <w:color w:val="auto"/>
          <w:sz w:val="32"/>
          <w:szCs w:val="32"/>
          <w:u w:val="none"/>
          <w:lang w:eastAsia="zh-CN"/>
        </w:rPr>
        <w:t>设施“厂网一体化”运维</w:t>
      </w:r>
      <w:r>
        <w:rPr>
          <w:rFonts w:hint="eastAsia" w:ascii="仿宋_GB2312" w:hAnsi="仿宋_GB2312" w:eastAsia="仿宋_GB2312" w:cs="仿宋_GB2312"/>
          <w:color w:val="auto"/>
          <w:sz w:val="32"/>
          <w:szCs w:val="32"/>
          <w:u w:val="none"/>
          <w:lang w:val="en-US" w:eastAsia="zh-CN"/>
        </w:rPr>
        <w:t>模式</w:t>
      </w:r>
      <w:r>
        <w:rPr>
          <w:rFonts w:hint="eastAsia" w:ascii="仿宋_GB2312" w:hAnsi="仿宋_GB2312" w:eastAsia="仿宋_GB2312" w:cs="仿宋_GB2312"/>
          <w:color w:val="auto"/>
          <w:sz w:val="32"/>
          <w:szCs w:val="32"/>
          <w:u w:val="none"/>
          <w:lang w:eastAsia="zh-CN"/>
        </w:rPr>
        <w:t>，</w:t>
      </w:r>
      <w:r>
        <w:rPr>
          <w:rFonts w:hint="eastAsia" w:ascii="仿宋_GB2312" w:hAnsi="仿宋_GB2312" w:eastAsia="仿宋_GB2312" w:cs="仿宋_GB2312"/>
          <w:color w:val="auto"/>
          <w:sz w:val="32"/>
          <w:szCs w:val="32"/>
          <w:u w:val="none"/>
          <w:lang w:val="en-US" w:eastAsia="zh-CN"/>
        </w:rPr>
        <w:t>提升乡镇生活污水处理能力，</w:t>
      </w:r>
      <w:r>
        <w:rPr>
          <w:rFonts w:hint="eastAsia" w:ascii="仿宋_GB2312" w:hAnsi="仿宋_GB2312" w:eastAsia="仿宋_GB2312" w:cs="仿宋_GB2312"/>
          <w:color w:val="auto"/>
          <w:sz w:val="32"/>
          <w:szCs w:val="32"/>
          <w:u w:val="none"/>
        </w:rPr>
        <w:t>改善</w:t>
      </w:r>
      <w:r>
        <w:rPr>
          <w:rFonts w:hint="eastAsia" w:ascii="仿宋_GB2312" w:hAnsi="仿宋_GB2312" w:eastAsia="仿宋_GB2312" w:cs="仿宋_GB2312"/>
          <w:color w:val="auto"/>
          <w:sz w:val="32"/>
          <w:szCs w:val="32"/>
          <w:u w:val="none"/>
          <w:lang w:eastAsia="zh-CN"/>
        </w:rPr>
        <w:t>乡镇</w:t>
      </w:r>
      <w:r>
        <w:rPr>
          <w:rFonts w:hint="eastAsia" w:ascii="仿宋_GB2312" w:hAnsi="仿宋_GB2312" w:eastAsia="仿宋_GB2312" w:cs="仿宋_GB2312"/>
          <w:color w:val="auto"/>
          <w:sz w:val="32"/>
          <w:szCs w:val="32"/>
          <w:u w:val="none"/>
        </w:rPr>
        <w:t>人居环境</w:t>
      </w:r>
      <w:r>
        <w:rPr>
          <w:rFonts w:hint="eastAsia" w:ascii="仿宋_GB2312" w:hAnsi="仿宋_GB2312" w:eastAsia="仿宋_GB2312" w:cs="仿宋_GB2312"/>
          <w:color w:val="auto"/>
          <w:sz w:val="32"/>
          <w:szCs w:val="32"/>
          <w:u w:val="none"/>
          <w:lang w:eastAsia="zh-CN"/>
        </w:rPr>
        <w:t>。</w:t>
      </w:r>
      <w:r>
        <w:rPr>
          <w:rFonts w:hint="eastAsia" w:ascii="仿宋_GB2312" w:hAnsi="仿宋_GB2312" w:eastAsia="仿宋_GB2312" w:cs="仿宋_GB2312"/>
          <w:color w:val="auto"/>
          <w:sz w:val="32"/>
          <w:szCs w:val="32"/>
          <w:u w:val="none"/>
        </w:rPr>
        <w:t>根据《中华人民共和国乡村振兴促进法》《中华人民共和国水污染防治法》《城镇排水与污水处理条例》等法律法规，结合</w:t>
      </w:r>
      <w:r>
        <w:rPr>
          <w:rFonts w:hint="eastAsia" w:ascii="仿宋_GB2312" w:hAnsi="仿宋_GB2312" w:eastAsia="仿宋_GB2312" w:cs="仿宋_GB2312"/>
          <w:color w:val="auto"/>
          <w:sz w:val="32"/>
          <w:szCs w:val="32"/>
          <w:u w:val="none"/>
          <w:lang w:eastAsia="zh-CN"/>
        </w:rPr>
        <w:t>亳州</w:t>
      </w:r>
      <w:r>
        <w:rPr>
          <w:rFonts w:hint="eastAsia" w:ascii="仿宋_GB2312" w:hAnsi="仿宋_GB2312" w:eastAsia="仿宋_GB2312" w:cs="仿宋_GB2312"/>
          <w:color w:val="auto"/>
          <w:sz w:val="32"/>
          <w:szCs w:val="32"/>
          <w:u w:val="none"/>
        </w:rPr>
        <w:t>市实际，制定本</w:t>
      </w:r>
      <w:r>
        <w:rPr>
          <w:rFonts w:hint="eastAsia" w:ascii="仿宋_GB2312" w:hAnsi="仿宋_GB2312" w:eastAsia="仿宋_GB2312" w:cs="仿宋_GB2312"/>
          <w:color w:val="auto"/>
          <w:sz w:val="32"/>
          <w:szCs w:val="32"/>
          <w:u w:val="none"/>
          <w:lang w:eastAsia="zh-CN"/>
        </w:rPr>
        <w:t>办法</w:t>
      </w:r>
      <w:r>
        <w:rPr>
          <w:rFonts w:hint="eastAsia" w:ascii="仿宋_GB2312" w:hAnsi="仿宋_GB2312" w:eastAsia="仿宋_GB2312" w:cs="仿宋_GB2312"/>
          <w:color w:val="auto"/>
          <w:sz w:val="32"/>
          <w:szCs w:val="32"/>
          <w:u w:val="none"/>
        </w:rPr>
        <w:t>。</w:t>
      </w:r>
    </w:p>
    <w:p w14:paraId="3C6F930D">
      <w:pPr>
        <w:keepNext w:val="0"/>
        <w:keepLines w:val="0"/>
        <w:pageBreakBefore w:val="0"/>
        <w:widowControl w:val="0"/>
        <w:numPr>
          <w:ilvl w:val="0"/>
          <w:numId w:val="0"/>
        </w:numPr>
        <w:kinsoku/>
        <w:wordWrap/>
        <w:overflowPunct w:val="0"/>
        <w:topLinePunct w:val="0"/>
        <w:autoSpaceDE w:val="0"/>
        <w:autoSpaceDN/>
        <w:bidi w:val="0"/>
        <w:adjustRightInd/>
        <w:snapToGrid/>
        <w:spacing w:line="240" w:lineRule="auto"/>
        <w:ind w:left="0" w:leftChars="0" w:firstLine="640" w:firstLineChars="200"/>
        <w:jc w:val="both"/>
        <w:textAlignment w:val="auto"/>
        <w:rPr>
          <w:rFonts w:hint="default" w:ascii="仿宋_GB2312" w:hAnsi="仿宋_GB2312" w:eastAsia="仿宋_GB2312" w:cs="仿宋_GB2312"/>
          <w:color w:val="auto"/>
          <w:sz w:val="32"/>
          <w:szCs w:val="32"/>
          <w:u w:val="none"/>
        </w:rPr>
      </w:pPr>
      <w:r>
        <w:rPr>
          <w:rFonts w:hint="default" w:ascii="黑体" w:hAnsi="黑体" w:eastAsia="黑体" w:cs="黑体"/>
          <w:color w:val="auto"/>
          <w:sz w:val="32"/>
          <w:szCs w:val="32"/>
          <w:u w:val="none"/>
        </w:rPr>
        <w:t>第二条</w:t>
      </w:r>
      <w:r>
        <w:rPr>
          <w:rFonts w:hint="default" w:ascii="Times New Roman" w:hAnsi="Times New Roman" w:eastAsia="方正仿宋_GBK" w:cs="Times New Roman"/>
          <w:color w:val="auto"/>
          <w:sz w:val="32"/>
          <w:szCs w:val="32"/>
          <w:u w:val="none"/>
        </w:rPr>
        <w:t xml:space="preserve">  </w:t>
      </w:r>
      <w:r>
        <w:rPr>
          <w:rFonts w:hint="default" w:ascii="仿宋_GB2312" w:hAnsi="仿宋_GB2312" w:eastAsia="仿宋_GB2312" w:cs="仿宋_GB2312"/>
          <w:color w:val="auto"/>
          <w:sz w:val="32"/>
          <w:szCs w:val="32"/>
          <w:u w:val="none"/>
        </w:rPr>
        <w:t>本</w:t>
      </w:r>
      <w:r>
        <w:rPr>
          <w:rFonts w:hint="default" w:ascii="仿宋_GB2312" w:hAnsi="仿宋_GB2312" w:eastAsia="仿宋_GB2312" w:cs="仿宋_GB2312"/>
          <w:color w:val="auto"/>
          <w:sz w:val="32"/>
          <w:szCs w:val="32"/>
          <w:u w:val="none"/>
          <w:lang w:eastAsia="zh-CN"/>
        </w:rPr>
        <w:t>办法</w:t>
      </w:r>
      <w:r>
        <w:rPr>
          <w:rFonts w:hint="default" w:ascii="仿宋_GB2312" w:hAnsi="仿宋_GB2312" w:eastAsia="仿宋_GB2312" w:cs="仿宋_GB2312"/>
          <w:color w:val="auto"/>
          <w:sz w:val="32"/>
          <w:szCs w:val="32"/>
          <w:u w:val="none"/>
        </w:rPr>
        <w:t>适用于</w:t>
      </w:r>
      <w:r>
        <w:rPr>
          <w:rFonts w:hint="default" w:ascii="仿宋_GB2312" w:hAnsi="仿宋_GB2312" w:eastAsia="仿宋_GB2312" w:cs="仿宋_GB2312"/>
          <w:color w:val="auto"/>
          <w:sz w:val="32"/>
          <w:szCs w:val="32"/>
          <w:u w:val="none"/>
          <w:lang w:eastAsia="zh-CN"/>
        </w:rPr>
        <w:t>亳州</w:t>
      </w:r>
      <w:r>
        <w:rPr>
          <w:rFonts w:hint="default" w:ascii="仿宋_GB2312" w:hAnsi="仿宋_GB2312" w:eastAsia="仿宋_GB2312" w:cs="仿宋_GB2312"/>
          <w:color w:val="auto"/>
          <w:sz w:val="32"/>
          <w:szCs w:val="32"/>
          <w:u w:val="none"/>
        </w:rPr>
        <w:t>市行政区域内乡镇政府驻地污水处理设施</w:t>
      </w:r>
      <w:r>
        <w:rPr>
          <w:rFonts w:hint="default" w:ascii="仿宋_GB2312" w:hAnsi="仿宋_GB2312" w:eastAsia="仿宋_GB2312" w:cs="仿宋_GB2312"/>
          <w:color w:val="auto"/>
          <w:sz w:val="32"/>
          <w:szCs w:val="32"/>
          <w:u w:val="none"/>
          <w:lang w:eastAsia="zh-CN"/>
        </w:rPr>
        <w:t>（含配套管网、泵站、污泥处置、再生水利用等）</w:t>
      </w:r>
      <w:r>
        <w:rPr>
          <w:rFonts w:hint="default" w:ascii="仿宋_GB2312" w:hAnsi="仿宋_GB2312" w:eastAsia="仿宋_GB2312" w:cs="仿宋_GB2312"/>
          <w:color w:val="auto"/>
          <w:sz w:val="32"/>
          <w:szCs w:val="32"/>
          <w:u w:val="none"/>
        </w:rPr>
        <w:t>的</w:t>
      </w:r>
      <w:r>
        <w:rPr>
          <w:rFonts w:hint="default" w:ascii="仿宋_GB2312" w:hAnsi="仿宋_GB2312" w:eastAsia="仿宋_GB2312" w:cs="仿宋_GB2312"/>
          <w:color w:val="auto"/>
          <w:sz w:val="32"/>
          <w:szCs w:val="32"/>
          <w:u w:val="none"/>
          <w:lang w:eastAsia="zh-CN"/>
        </w:rPr>
        <w:t>规划、</w:t>
      </w:r>
      <w:r>
        <w:rPr>
          <w:rFonts w:hint="default" w:ascii="仿宋_GB2312" w:hAnsi="仿宋_GB2312" w:eastAsia="仿宋_GB2312" w:cs="仿宋_GB2312"/>
          <w:color w:val="auto"/>
          <w:sz w:val="32"/>
          <w:szCs w:val="32"/>
          <w:u w:val="none"/>
        </w:rPr>
        <w:t>建设、改造、运营、维护和监督管理。</w:t>
      </w:r>
    </w:p>
    <w:p w14:paraId="48175707">
      <w:pPr>
        <w:keepNext w:val="0"/>
        <w:keepLines w:val="0"/>
        <w:pageBreakBefore w:val="0"/>
        <w:widowControl w:val="0"/>
        <w:kinsoku/>
        <w:wordWrap/>
        <w:overflowPunct w:val="0"/>
        <w:topLinePunct w:val="0"/>
        <w:autoSpaceDE w:val="0"/>
        <w:autoSpaceDN/>
        <w:bidi w:val="0"/>
        <w:adjustRightInd/>
        <w:snapToGrid/>
        <w:spacing w:line="640" w:lineRule="exact"/>
        <w:ind w:left="0" w:leftChars="0" w:firstLine="640" w:firstLineChars="200"/>
        <w:jc w:val="both"/>
        <w:textAlignment w:val="auto"/>
        <w:rPr>
          <w:rFonts w:hint="default" w:ascii="Times New Roman" w:hAnsi="Times New Roman" w:eastAsia="方正黑体_GBK" w:cs="Times New Roman"/>
          <w:color w:val="auto"/>
          <w:sz w:val="32"/>
          <w:szCs w:val="32"/>
          <w:u w:val="none"/>
          <w:lang w:eastAsia="zh-CN"/>
        </w:rPr>
      </w:pPr>
    </w:p>
    <w:p w14:paraId="31848BAF">
      <w:pPr>
        <w:keepNext w:val="0"/>
        <w:keepLines w:val="0"/>
        <w:pageBreakBefore w:val="0"/>
        <w:widowControl w:val="0"/>
        <w:numPr>
          <w:ilvl w:val="0"/>
          <w:numId w:val="0"/>
        </w:numPr>
        <w:kinsoku/>
        <w:wordWrap/>
        <w:overflowPunct w:val="0"/>
        <w:topLinePunct w:val="0"/>
        <w:autoSpaceDE w:val="0"/>
        <w:autoSpaceDN/>
        <w:bidi w:val="0"/>
        <w:adjustRightInd/>
        <w:snapToGrid/>
        <w:spacing w:line="240" w:lineRule="auto"/>
        <w:jc w:val="center"/>
        <w:textAlignment w:val="auto"/>
        <w:rPr>
          <w:rFonts w:hint="default" w:ascii="黑体" w:hAnsi="黑体" w:eastAsia="黑体" w:cs="黑体"/>
          <w:color w:val="auto"/>
          <w:sz w:val="32"/>
          <w:szCs w:val="32"/>
          <w:u w:val="none"/>
          <w:lang w:val="en-US" w:eastAsia="zh-CN"/>
        </w:rPr>
      </w:pPr>
      <w:r>
        <w:rPr>
          <w:rFonts w:hint="default" w:ascii="黑体" w:hAnsi="黑体" w:eastAsia="黑体" w:cs="黑体"/>
          <w:color w:val="auto"/>
          <w:sz w:val="32"/>
          <w:szCs w:val="32"/>
          <w:u w:val="none"/>
          <w:lang w:eastAsia="zh-CN"/>
        </w:rPr>
        <w:t>第二章</w:t>
      </w:r>
      <w:r>
        <w:rPr>
          <w:rFonts w:hint="eastAsia" w:ascii="黑体" w:hAnsi="黑体" w:eastAsia="黑体" w:cs="黑体"/>
          <w:color w:val="auto"/>
          <w:sz w:val="32"/>
          <w:szCs w:val="32"/>
          <w:u w:val="none"/>
          <w:lang w:val="en-US" w:eastAsia="zh-CN"/>
        </w:rPr>
        <w:t xml:space="preserve">  </w:t>
      </w:r>
      <w:r>
        <w:rPr>
          <w:rFonts w:hint="default" w:ascii="黑体" w:hAnsi="黑体" w:eastAsia="黑体" w:cs="黑体"/>
          <w:color w:val="auto"/>
          <w:sz w:val="32"/>
          <w:szCs w:val="32"/>
          <w:u w:val="none"/>
          <w:lang w:val="en-US" w:eastAsia="zh-CN"/>
        </w:rPr>
        <w:t>职责分工</w:t>
      </w:r>
    </w:p>
    <w:p w14:paraId="6135950D">
      <w:pPr>
        <w:pStyle w:val="2"/>
        <w:keepNext w:val="0"/>
        <w:keepLines w:val="0"/>
        <w:pageBreakBefore w:val="0"/>
        <w:widowControl w:val="0"/>
        <w:kinsoku/>
        <w:wordWrap/>
        <w:topLinePunct w:val="0"/>
        <w:autoSpaceDN/>
        <w:bidi w:val="0"/>
        <w:adjustRightInd/>
        <w:spacing w:line="240" w:lineRule="auto"/>
        <w:textAlignment w:val="auto"/>
        <w:rPr>
          <w:rFonts w:hint="default"/>
          <w:lang w:val="en-US" w:eastAsia="zh-CN"/>
        </w:rPr>
      </w:pPr>
    </w:p>
    <w:p w14:paraId="615BA45A">
      <w:pPr>
        <w:keepNext w:val="0"/>
        <w:keepLines w:val="0"/>
        <w:pageBreakBefore w:val="0"/>
        <w:widowControl w:val="0"/>
        <w:kinsoku/>
        <w:wordWrap/>
        <w:overflowPunct w:val="0"/>
        <w:topLinePunct w:val="0"/>
        <w:autoSpaceDE w:val="0"/>
        <w:autoSpaceDN/>
        <w:bidi w:val="0"/>
        <w:adjustRightInd/>
        <w:snapToGrid/>
        <w:spacing w:line="240" w:lineRule="auto"/>
        <w:ind w:left="0" w:leftChars="0" w:firstLine="640" w:firstLineChars="200"/>
        <w:jc w:val="both"/>
        <w:textAlignment w:val="auto"/>
        <w:rPr>
          <w:rFonts w:hint="default" w:ascii="仿宋_GB2312" w:hAnsi="仿宋_GB2312" w:eastAsia="仿宋_GB2312" w:cs="仿宋_GB2312"/>
          <w:color w:val="auto"/>
          <w:sz w:val="32"/>
          <w:szCs w:val="32"/>
          <w:u w:val="none"/>
        </w:rPr>
      </w:pPr>
      <w:r>
        <w:rPr>
          <w:rFonts w:hint="default" w:ascii="黑体" w:hAnsi="黑体" w:eastAsia="黑体" w:cs="黑体"/>
          <w:color w:val="auto"/>
          <w:sz w:val="32"/>
          <w:szCs w:val="32"/>
          <w:u w:val="none"/>
          <w:lang w:eastAsia="zh-CN"/>
        </w:rPr>
        <w:t xml:space="preserve">第三条 </w:t>
      </w:r>
      <w:r>
        <w:rPr>
          <w:rFonts w:hint="eastAsia" w:ascii="仿宋_GB2312" w:hAnsi="仿宋_GB2312" w:eastAsia="仿宋_GB2312" w:cs="仿宋_GB2312"/>
          <w:color w:val="auto"/>
          <w:sz w:val="32"/>
          <w:szCs w:val="32"/>
          <w:u w:val="none"/>
          <w:lang w:val="en-US" w:eastAsia="zh-CN"/>
        </w:rPr>
        <w:t xml:space="preserve"> </w:t>
      </w:r>
      <w:r>
        <w:rPr>
          <w:rFonts w:hint="default" w:ascii="仿宋_GB2312" w:hAnsi="仿宋_GB2312" w:eastAsia="仿宋_GB2312" w:cs="仿宋_GB2312"/>
          <w:color w:val="auto"/>
          <w:sz w:val="32"/>
          <w:szCs w:val="32"/>
          <w:u w:val="none"/>
        </w:rPr>
        <w:t>市、县（区）生态环境</w:t>
      </w:r>
      <w:r>
        <w:rPr>
          <w:rFonts w:hint="default" w:ascii="仿宋_GB2312" w:hAnsi="仿宋_GB2312" w:eastAsia="仿宋_GB2312" w:cs="仿宋_GB2312"/>
          <w:color w:val="auto"/>
          <w:sz w:val="32"/>
          <w:szCs w:val="32"/>
          <w:u w:val="none"/>
          <w:lang w:eastAsia="zh-CN"/>
        </w:rPr>
        <w:t>主管部门</w:t>
      </w:r>
      <w:r>
        <w:rPr>
          <w:rFonts w:hint="default" w:ascii="仿宋_GB2312" w:hAnsi="仿宋_GB2312" w:eastAsia="仿宋_GB2312" w:cs="仿宋_GB2312"/>
          <w:color w:val="auto"/>
          <w:sz w:val="32"/>
          <w:szCs w:val="32"/>
          <w:u w:val="none"/>
        </w:rPr>
        <w:t>对本行政区域内</w:t>
      </w:r>
      <w:r>
        <w:rPr>
          <w:rFonts w:hint="default" w:ascii="仿宋_GB2312" w:hAnsi="仿宋_GB2312" w:eastAsia="仿宋_GB2312" w:cs="仿宋_GB2312"/>
          <w:color w:val="auto"/>
          <w:sz w:val="32"/>
          <w:szCs w:val="32"/>
          <w:u w:val="none"/>
          <w:lang w:eastAsia="zh-CN"/>
        </w:rPr>
        <w:t>乡镇政府驻地</w:t>
      </w:r>
      <w:r>
        <w:rPr>
          <w:rFonts w:hint="default" w:ascii="仿宋_GB2312" w:hAnsi="仿宋_GB2312" w:eastAsia="仿宋_GB2312" w:cs="仿宋_GB2312"/>
          <w:color w:val="auto"/>
          <w:sz w:val="32"/>
          <w:szCs w:val="32"/>
          <w:u w:val="none"/>
        </w:rPr>
        <w:t>污水处理</w:t>
      </w:r>
      <w:r>
        <w:rPr>
          <w:rFonts w:hint="default" w:ascii="仿宋_GB2312" w:hAnsi="仿宋_GB2312" w:eastAsia="仿宋_GB2312" w:cs="仿宋_GB2312"/>
          <w:color w:val="auto"/>
          <w:sz w:val="32"/>
          <w:szCs w:val="32"/>
          <w:u w:val="none"/>
          <w:lang w:eastAsia="zh-CN"/>
        </w:rPr>
        <w:t>设施</w:t>
      </w:r>
      <w:r>
        <w:rPr>
          <w:rFonts w:hint="default" w:ascii="仿宋_GB2312" w:hAnsi="仿宋_GB2312" w:eastAsia="仿宋_GB2312" w:cs="仿宋_GB2312"/>
          <w:color w:val="auto"/>
          <w:sz w:val="32"/>
          <w:szCs w:val="32"/>
          <w:u w:val="none"/>
        </w:rPr>
        <w:t>实施统一监督。</w:t>
      </w:r>
    </w:p>
    <w:p w14:paraId="7ECDED36">
      <w:pPr>
        <w:keepNext w:val="0"/>
        <w:keepLines w:val="0"/>
        <w:pageBreakBefore w:val="0"/>
        <w:widowControl w:val="0"/>
        <w:kinsoku/>
        <w:wordWrap/>
        <w:overflowPunct w:val="0"/>
        <w:topLinePunct w:val="0"/>
        <w:autoSpaceDE w:val="0"/>
        <w:autoSpaceDN/>
        <w:bidi w:val="0"/>
        <w:adjustRightInd/>
        <w:snapToGrid/>
        <w:spacing w:line="240" w:lineRule="auto"/>
        <w:ind w:left="0" w:leftChars="0" w:firstLine="640" w:firstLineChars="200"/>
        <w:jc w:val="both"/>
        <w:textAlignment w:val="auto"/>
        <w:rPr>
          <w:rFonts w:hint="default" w:ascii="仿宋_GB2312" w:hAnsi="仿宋_GB2312" w:eastAsia="仿宋_GB2312" w:cs="仿宋_GB2312"/>
          <w:color w:val="auto"/>
          <w:sz w:val="32"/>
          <w:szCs w:val="32"/>
          <w:u w:val="none"/>
          <w:lang w:val="en-US" w:eastAsia="zh-CN"/>
        </w:rPr>
      </w:pPr>
      <w:r>
        <w:rPr>
          <w:rFonts w:hint="default" w:ascii="黑体" w:hAnsi="黑体" w:eastAsia="黑体" w:cs="黑体"/>
          <w:color w:val="auto"/>
          <w:sz w:val="32"/>
          <w:szCs w:val="32"/>
          <w:u w:val="none"/>
          <w:lang w:eastAsia="zh-CN"/>
        </w:rPr>
        <w:t>第四条</w:t>
      </w:r>
      <w:r>
        <w:rPr>
          <w:rFonts w:hint="default" w:ascii="Times New Roman" w:hAnsi="Times New Roman" w:eastAsia="方正仿宋_GBK" w:cs="Times New Roman"/>
          <w:color w:val="auto"/>
          <w:sz w:val="32"/>
          <w:szCs w:val="32"/>
          <w:u w:val="none"/>
          <w:lang w:val="en-US" w:eastAsia="zh-CN"/>
        </w:rPr>
        <w:t xml:space="preserve"> </w:t>
      </w:r>
      <w:r>
        <w:rPr>
          <w:rFonts w:hint="eastAsia" w:ascii="Times New Roman" w:hAnsi="Times New Roman" w:eastAsia="方正仿宋_GBK" w:cs="Times New Roman"/>
          <w:color w:val="auto"/>
          <w:sz w:val="32"/>
          <w:szCs w:val="32"/>
          <w:u w:val="none"/>
          <w:lang w:val="en-US" w:eastAsia="zh-CN"/>
        </w:rPr>
        <w:t xml:space="preserve"> </w:t>
      </w:r>
      <w:r>
        <w:rPr>
          <w:rFonts w:hint="default" w:ascii="仿宋_GB2312" w:hAnsi="仿宋_GB2312" w:eastAsia="仿宋_GB2312" w:cs="仿宋_GB2312"/>
          <w:color w:val="auto"/>
          <w:sz w:val="32"/>
          <w:szCs w:val="32"/>
          <w:u w:val="none"/>
          <w:lang w:val="en-US" w:eastAsia="zh-CN"/>
        </w:rPr>
        <w:t>市</w:t>
      </w:r>
      <w:r>
        <w:rPr>
          <w:rFonts w:hint="eastAsia" w:ascii="仿宋_GB2312" w:hAnsi="仿宋_GB2312" w:eastAsia="仿宋_GB2312" w:cs="仿宋_GB2312"/>
          <w:color w:val="auto"/>
          <w:sz w:val="32"/>
          <w:szCs w:val="32"/>
          <w:u w:val="none"/>
          <w:lang w:val="en-US" w:eastAsia="zh-CN"/>
        </w:rPr>
        <w:t>建设行政主管部门</w:t>
      </w:r>
      <w:r>
        <w:rPr>
          <w:rFonts w:hint="default" w:ascii="仿宋_GB2312" w:hAnsi="仿宋_GB2312" w:eastAsia="仿宋_GB2312" w:cs="仿宋_GB2312"/>
          <w:color w:val="auto"/>
          <w:sz w:val="32"/>
          <w:szCs w:val="32"/>
          <w:u w:val="none"/>
          <w:lang w:val="en-US" w:eastAsia="zh-CN"/>
        </w:rPr>
        <w:t>负责指导本行政区域内乡镇政府驻地污水处理设施的规划、建设、改造和运营工作。县级人民政府指定的排水与污水主管部门负责本行政区域内乡镇政府驻地污水处理设施的规划、建设、改造和运营维护的管理、监督工作。</w:t>
      </w:r>
    </w:p>
    <w:p w14:paraId="366A54D8">
      <w:pPr>
        <w:keepNext w:val="0"/>
        <w:keepLines w:val="0"/>
        <w:pageBreakBefore w:val="0"/>
        <w:widowControl w:val="0"/>
        <w:numPr>
          <w:ilvl w:val="0"/>
          <w:numId w:val="0"/>
        </w:numPr>
        <w:kinsoku/>
        <w:wordWrap/>
        <w:overflowPunct w:val="0"/>
        <w:topLinePunct w:val="0"/>
        <w:autoSpaceDE w:val="0"/>
        <w:autoSpaceDN/>
        <w:bidi w:val="0"/>
        <w:adjustRightInd/>
        <w:snapToGrid/>
        <w:spacing w:line="240" w:lineRule="auto"/>
        <w:ind w:left="0" w:leftChars="0" w:firstLine="640" w:firstLineChars="200"/>
        <w:jc w:val="both"/>
        <w:textAlignment w:val="auto"/>
        <w:rPr>
          <w:rFonts w:hint="default" w:ascii="仿宋_GB2312" w:hAnsi="仿宋_GB2312" w:eastAsia="仿宋_GB2312" w:cs="仿宋_GB2312"/>
          <w:color w:val="auto"/>
          <w:sz w:val="32"/>
          <w:szCs w:val="32"/>
          <w:u w:val="none"/>
          <w:lang w:val="en-US" w:eastAsia="zh-CN"/>
        </w:rPr>
      </w:pPr>
      <w:r>
        <w:rPr>
          <w:rFonts w:hint="default" w:ascii="黑体" w:hAnsi="黑体" w:eastAsia="黑体" w:cs="黑体"/>
          <w:color w:val="auto"/>
          <w:sz w:val="32"/>
          <w:szCs w:val="32"/>
          <w:u w:val="none"/>
          <w:lang w:eastAsia="zh-CN"/>
        </w:rPr>
        <w:t>第五条</w:t>
      </w:r>
      <w:r>
        <w:rPr>
          <w:rFonts w:hint="default" w:ascii="Times New Roman" w:hAnsi="Times New Roman" w:eastAsia="方正仿宋_GBK" w:cs="Times New Roman"/>
          <w:color w:val="auto"/>
          <w:sz w:val="32"/>
          <w:szCs w:val="32"/>
          <w:u w:val="none"/>
          <w:lang w:val="en-US" w:eastAsia="zh-CN"/>
        </w:rPr>
        <w:t xml:space="preserve"> </w:t>
      </w:r>
      <w:r>
        <w:rPr>
          <w:rFonts w:hint="eastAsia" w:ascii="仿宋_GB2312" w:hAnsi="仿宋_GB2312" w:eastAsia="仿宋_GB2312" w:cs="仿宋_GB2312"/>
          <w:color w:val="auto"/>
          <w:sz w:val="32"/>
          <w:szCs w:val="32"/>
          <w:u w:val="none"/>
          <w:lang w:val="en-US" w:eastAsia="zh-CN"/>
        </w:rPr>
        <w:t xml:space="preserve"> </w:t>
      </w:r>
      <w:r>
        <w:rPr>
          <w:rFonts w:hint="default" w:ascii="仿宋_GB2312" w:hAnsi="仿宋_GB2312" w:eastAsia="仿宋_GB2312" w:cs="仿宋_GB2312"/>
          <w:color w:val="auto"/>
          <w:sz w:val="32"/>
          <w:szCs w:val="32"/>
          <w:u w:val="none"/>
          <w:lang w:val="en-US" w:eastAsia="zh-CN"/>
        </w:rPr>
        <w:t>市、县（区）发展改革部门负责组织开展乡镇政府驻地居民生活污水处理成本调研、健全乡镇政府驻地居民生活污水处理费调整机制；按照</w:t>
      </w:r>
      <w:r>
        <w:rPr>
          <w:rFonts w:hint="eastAsia" w:ascii="仿宋_GB2312" w:hAnsi="仿宋_GB2312" w:eastAsia="仿宋_GB2312" w:cs="仿宋_GB2312"/>
          <w:color w:val="auto"/>
          <w:sz w:val="32"/>
          <w:szCs w:val="32"/>
          <w:u w:val="none"/>
          <w:lang w:val="en-US" w:eastAsia="zh-CN"/>
        </w:rPr>
        <w:t>“</w:t>
      </w:r>
      <w:r>
        <w:rPr>
          <w:rFonts w:hint="default" w:ascii="仿宋_GB2312" w:hAnsi="仿宋_GB2312" w:eastAsia="仿宋_GB2312" w:cs="仿宋_GB2312"/>
          <w:color w:val="auto"/>
          <w:sz w:val="32"/>
          <w:szCs w:val="32"/>
          <w:u w:val="none"/>
          <w:lang w:val="en-US" w:eastAsia="zh-CN"/>
        </w:rPr>
        <w:t>污染付费、公平负担、补偿成本、合理盈利</w:t>
      </w:r>
      <w:r>
        <w:rPr>
          <w:rFonts w:hint="eastAsia" w:ascii="仿宋_GB2312" w:hAnsi="仿宋_GB2312" w:eastAsia="仿宋_GB2312" w:cs="仿宋_GB2312"/>
          <w:color w:val="auto"/>
          <w:sz w:val="32"/>
          <w:szCs w:val="32"/>
          <w:u w:val="none"/>
          <w:lang w:val="en-US" w:eastAsia="zh-CN"/>
        </w:rPr>
        <w:t>”</w:t>
      </w:r>
      <w:r>
        <w:rPr>
          <w:rFonts w:hint="default" w:ascii="仿宋_GB2312" w:hAnsi="仿宋_GB2312" w:eastAsia="仿宋_GB2312" w:cs="仿宋_GB2312"/>
          <w:color w:val="auto"/>
          <w:sz w:val="32"/>
          <w:szCs w:val="32"/>
          <w:u w:val="none"/>
          <w:lang w:val="en-US" w:eastAsia="zh-CN"/>
        </w:rPr>
        <w:t>的原则，完善乡镇政府驻地居民生活污水处理成本分担机制、激励约束机制和收费标准动态调整机制，建立健全乡镇政府驻地居民生活污水处理收费长效机制；依法核定乡镇政府驻地居民生活污水处理收费标准，加强价格监管。</w:t>
      </w:r>
    </w:p>
    <w:p w14:paraId="6CBAE286">
      <w:pPr>
        <w:keepNext w:val="0"/>
        <w:keepLines w:val="0"/>
        <w:pageBreakBefore w:val="0"/>
        <w:widowControl w:val="0"/>
        <w:numPr>
          <w:ilvl w:val="0"/>
          <w:numId w:val="0"/>
        </w:numPr>
        <w:kinsoku/>
        <w:wordWrap/>
        <w:overflowPunct w:val="0"/>
        <w:topLinePunct w:val="0"/>
        <w:autoSpaceDE w:val="0"/>
        <w:autoSpaceDN/>
        <w:bidi w:val="0"/>
        <w:adjustRightInd/>
        <w:snapToGrid/>
        <w:spacing w:line="240" w:lineRule="auto"/>
        <w:ind w:left="0" w:leftChars="0" w:firstLine="640" w:firstLineChars="200"/>
        <w:jc w:val="both"/>
        <w:textAlignment w:val="auto"/>
        <w:rPr>
          <w:rFonts w:hint="default" w:ascii="仿宋_GB2312" w:hAnsi="仿宋_GB2312" w:eastAsia="仿宋_GB2312" w:cs="仿宋_GB2312"/>
          <w:color w:val="auto"/>
          <w:sz w:val="32"/>
          <w:szCs w:val="32"/>
          <w:u w:val="none"/>
          <w:lang w:val="en-US" w:eastAsia="zh-CN"/>
        </w:rPr>
      </w:pPr>
      <w:r>
        <w:rPr>
          <w:rFonts w:hint="default" w:ascii="黑体" w:hAnsi="黑体" w:eastAsia="黑体" w:cs="黑体"/>
          <w:color w:val="auto"/>
          <w:sz w:val="32"/>
          <w:szCs w:val="32"/>
          <w:u w:val="none"/>
          <w:lang w:eastAsia="zh-CN"/>
        </w:rPr>
        <w:t>第六条</w:t>
      </w:r>
      <w:r>
        <w:rPr>
          <w:rFonts w:hint="eastAsia" w:ascii="黑体" w:hAnsi="黑体" w:eastAsia="黑体" w:cs="黑体"/>
          <w:color w:val="auto"/>
          <w:sz w:val="32"/>
          <w:szCs w:val="32"/>
          <w:u w:val="none"/>
          <w:lang w:val="en-US" w:eastAsia="zh-CN"/>
        </w:rPr>
        <w:t xml:space="preserve"> </w:t>
      </w:r>
      <w:r>
        <w:rPr>
          <w:rFonts w:hint="default" w:ascii="Times New Roman" w:hAnsi="Times New Roman" w:eastAsia="方正仿宋_GBK" w:cs="Times New Roman"/>
          <w:color w:val="auto"/>
          <w:sz w:val="32"/>
          <w:szCs w:val="32"/>
          <w:u w:val="none"/>
          <w:lang w:val="en-US" w:eastAsia="zh-CN"/>
        </w:rPr>
        <w:t xml:space="preserve"> </w:t>
      </w:r>
      <w:r>
        <w:rPr>
          <w:rFonts w:hint="default" w:ascii="仿宋_GB2312" w:hAnsi="仿宋_GB2312" w:eastAsia="仿宋_GB2312" w:cs="仿宋_GB2312"/>
          <w:color w:val="auto"/>
          <w:sz w:val="32"/>
          <w:szCs w:val="32"/>
          <w:u w:val="none"/>
          <w:lang w:val="en-US" w:eastAsia="zh-CN"/>
        </w:rPr>
        <w:t>县（区）人民政府指定的排水与污水主管部门按照核定的收费标准自行收取污水处理费用或委托供水企业一并收取。污水处理费应当纳入地方财政预算管理，专项用于</w:t>
      </w:r>
      <w:r>
        <w:rPr>
          <w:rFonts w:hint="eastAsia" w:ascii="仿宋_GB2312" w:hAnsi="仿宋_GB2312" w:eastAsia="仿宋_GB2312" w:cs="仿宋_GB2312"/>
          <w:color w:val="auto"/>
          <w:sz w:val="32"/>
          <w:szCs w:val="32"/>
          <w:u w:val="none"/>
          <w:lang w:val="en-US" w:eastAsia="zh-CN"/>
        </w:rPr>
        <w:t>乡镇</w:t>
      </w:r>
      <w:r>
        <w:rPr>
          <w:rFonts w:hint="default" w:ascii="仿宋_GB2312" w:hAnsi="仿宋_GB2312" w:eastAsia="仿宋_GB2312" w:cs="仿宋_GB2312"/>
          <w:color w:val="auto"/>
          <w:sz w:val="32"/>
          <w:szCs w:val="32"/>
          <w:u w:val="none"/>
          <w:lang w:val="en-US" w:eastAsia="zh-CN"/>
        </w:rPr>
        <w:t>污水处理设施的建设、运行和污泥处理处置，不得挪作他用。污水处理费的收取、使用情况应当向社会公开。</w:t>
      </w:r>
    </w:p>
    <w:p w14:paraId="59FC32BD">
      <w:pPr>
        <w:keepNext w:val="0"/>
        <w:keepLines w:val="0"/>
        <w:pageBreakBefore w:val="0"/>
        <w:widowControl w:val="0"/>
        <w:kinsoku/>
        <w:wordWrap/>
        <w:overflowPunct w:val="0"/>
        <w:topLinePunct w:val="0"/>
        <w:autoSpaceDE w:val="0"/>
        <w:autoSpaceDN/>
        <w:bidi w:val="0"/>
        <w:adjustRightInd/>
        <w:snapToGrid/>
        <w:spacing w:line="240" w:lineRule="auto"/>
        <w:ind w:left="0" w:leftChars="0" w:firstLine="640" w:firstLineChars="200"/>
        <w:jc w:val="both"/>
        <w:textAlignment w:val="auto"/>
        <w:rPr>
          <w:rFonts w:hint="default" w:ascii="Times New Roman" w:hAnsi="Times New Roman" w:eastAsia="方正黑体_GBK" w:cs="Times New Roman"/>
          <w:color w:val="auto"/>
          <w:sz w:val="32"/>
          <w:szCs w:val="32"/>
          <w:u w:val="none"/>
        </w:rPr>
      </w:pPr>
    </w:p>
    <w:p w14:paraId="688E1A1D">
      <w:pPr>
        <w:keepNext w:val="0"/>
        <w:keepLines w:val="0"/>
        <w:pageBreakBefore w:val="0"/>
        <w:widowControl w:val="0"/>
        <w:numPr>
          <w:ilvl w:val="0"/>
          <w:numId w:val="0"/>
        </w:numPr>
        <w:kinsoku/>
        <w:wordWrap/>
        <w:overflowPunct w:val="0"/>
        <w:topLinePunct w:val="0"/>
        <w:autoSpaceDE w:val="0"/>
        <w:autoSpaceDN/>
        <w:bidi w:val="0"/>
        <w:adjustRightInd/>
        <w:snapToGrid/>
        <w:spacing w:line="240" w:lineRule="auto"/>
        <w:jc w:val="center"/>
        <w:textAlignment w:val="auto"/>
        <w:rPr>
          <w:rFonts w:hint="default" w:ascii="黑体" w:hAnsi="黑体" w:eastAsia="黑体" w:cs="黑体"/>
          <w:color w:val="auto"/>
          <w:sz w:val="32"/>
          <w:szCs w:val="32"/>
          <w:u w:val="none"/>
          <w:lang w:eastAsia="zh-CN"/>
        </w:rPr>
      </w:pPr>
      <w:r>
        <w:rPr>
          <w:rFonts w:hint="default" w:ascii="黑体" w:hAnsi="黑体" w:eastAsia="黑体" w:cs="黑体"/>
          <w:color w:val="auto"/>
          <w:sz w:val="32"/>
          <w:szCs w:val="32"/>
          <w:u w:val="none"/>
          <w:lang w:eastAsia="zh-CN"/>
        </w:rPr>
        <w:t>第三章</w:t>
      </w:r>
      <w:r>
        <w:rPr>
          <w:rFonts w:hint="eastAsia" w:ascii="黑体" w:hAnsi="黑体" w:eastAsia="黑体" w:cs="黑体"/>
          <w:color w:val="auto"/>
          <w:sz w:val="32"/>
          <w:szCs w:val="32"/>
          <w:u w:val="none"/>
          <w:lang w:val="en-US" w:eastAsia="zh-CN"/>
        </w:rPr>
        <w:t xml:space="preserve">  </w:t>
      </w:r>
      <w:r>
        <w:rPr>
          <w:rFonts w:hint="default" w:ascii="黑体" w:hAnsi="黑体" w:eastAsia="黑体" w:cs="黑体"/>
          <w:color w:val="auto"/>
          <w:sz w:val="32"/>
          <w:szCs w:val="32"/>
          <w:u w:val="none"/>
          <w:lang w:eastAsia="zh-CN"/>
        </w:rPr>
        <w:t>规划建设</w:t>
      </w:r>
    </w:p>
    <w:p w14:paraId="53337FFE">
      <w:pPr>
        <w:pStyle w:val="2"/>
        <w:keepNext w:val="0"/>
        <w:keepLines w:val="0"/>
        <w:pageBreakBefore w:val="0"/>
        <w:widowControl w:val="0"/>
        <w:kinsoku/>
        <w:wordWrap/>
        <w:topLinePunct w:val="0"/>
        <w:autoSpaceDN/>
        <w:bidi w:val="0"/>
        <w:adjustRightInd/>
        <w:spacing w:line="240" w:lineRule="auto"/>
        <w:textAlignment w:val="auto"/>
        <w:rPr>
          <w:rFonts w:hint="default"/>
          <w:lang w:eastAsia="zh-CN"/>
        </w:rPr>
      </w:pPr>
    </w:p>
    <w:p w14:paraId="28EAE47F">
      <w:pPr>
        <w:keepNext w:val="0"/>
        <w:keepLines w:val="0"/>
        <w:pageBreakBefore w:val="0"/>
        <w:widowControl w:val="0"/>
        <w:kinsoku/>
        <w:wordWrap/>
        <w:overflowPunct w:val="0"/>
        <w:topLinePunct w:val="0"/>
        <w:autoSpaceDE w:val="0"/>
        <w:autoSpaceDN/>
        <w:bidi w:val="0"/>
        <w:adjustRightInd/>
        <w:snapToGrid/>
        <w:spacing w:line="240" w:lineRule="auto"/>
        <w:ind w:left="0" w:leftChars="0" w:firstLine="640" w:firstLineChars="200"/>
        <w:jc w:val="both"/>
        <w:textAlignment w:val="auto"/>
        <w:rPr>
          <w:rFonts w:hint="default" w:ascii="仿宋_GB2312" w:hAnsi="仿宋_GB2312" w:eastAsia="仿宋_GB2312" w:cs="仿宋_GB2312"/>
          <w:color w:val="auto"/>
          <w:sz w:val="32"/>
          <w:szCs w:val="32"/>
          <w:u w:val="none"/>
          <w:lang w:val="en-US" w:eastAsia="zh-CN"/>
        </w:rPr>
      </w:pPr>
      <w:r>
        <w:rPr>
          <w:rFonts w:hint="default" w:ascii="黑体" w:hAnsi="黑体" w:eastAsia="黑体" w:cs="黑体"/>
          <w:color w:val="auto"/>
          <w:sz w:val="32"/>
          <w:szCs w:val="32"/>
          <w:u w:val="none"/>
          <w:lang w:val="en-US" w:eastAsia="zh-CN"/>
        </w:rPr>
        <w:t>第七条</w:t>
      </w:r>
      <w:r>
        <w:rPr>
          <w:rFonts w:hint="default" w:ascii="Times New Roman" w:hAnsi="Times New Roman" w:eastAsia="方正仿宋_GBK" w:cs="Times New Roman"/>
          <w:color w:val="auto"/>
          <w:sz w:val="32"/>
          <w:szCs w:val="32"/>
          <w:u w:val="none"/>
          <w:lang w:val="en-US" w:eastAsia="zh-CN"/>
        </w:rPr>
        <w:t xml:space="preserve"> </w:t>
      </w:r>
      <w:r>
        <w:rPr>
          <w:rFonts w:hint="eastAsia" w:ascii="Times New Roman" w:hAnsi="Times New Roman" w:eastAsia="方正仿宋_GBK" w:cs="Times New Roman"/>
          <w:color w:val="auto"/>
          <w:sz w:val="32"/>
          <w:szCs w:val="32"/>
          <w:u w:val="none"/>
          <w:lang w:val="en-US" w:eastAsia="zh-CN"/>
        </w:rPr>
        <w:t xml:space="preserve"> </w:t>
      </w:r>
      <w:r>
        <w:rPr>
          <w:rFonts w:hint="default" w:ascii="仿宋_GB2312" w:hAnsi="仿宋_GB2312" w:eastAsia="仿宋_GB2312" w:cs="仿宋_GB2312"/>
          <w:color w:val="auto"/>
          <w:sz w:val="32"/>
          <w:szCs w:val="32"/>
          <w:u w:val="none"/>
          <w:lang w:val="en-US" w:eastAsia="zh-CN"/>
        </w:rPr>
        <w:t>县（区）人民政府指定的排水与污水主管部门应当按照《城镇排水与污水处理条例》等要求，会同有关部门，根据当地经济社会发展水平以及地理、气候特征，编制本行政区域的乡镇政府驻地污水处理规划，报本级人民政府批准后组织实施。</w:t>
      </w:r>
    </w:p>
    <w:p w14:paraId="7D5CF73C">
      <w:pPr>
        <w:keepNext w:val="0"/>
        <w:keepLines w:val="0"/>
        <w:pageBreakBefore w:val="0"/>
        <w:widowControl w:val="0"/>
        <w:kinsoku/>
        <w:wordWrap/>
        <w:overflowPunct w:val="0"/>
        <w:topLinePunct w:val="0"/>
        <w:autoSpaceDE w:val="0"/>
        <w:autoSpaceDN/>
        <w:bidi w:val="0"/>
        <w:adjustRightInd/>
        <w:snapToGrid/>
        <w:spacing w:line="240" w:lineRule="auto"/>
        <w:ind w:left="0" w:leftChars="0" w:firstLine="640" w:firstLineChars="200"/>
        <w:jc w:val="both"/>
        <w:textAlignment w:val="auto"/>
        <w:rPr>
          <w:rFonts w:hint="default" w:ascii="仿宋_GB2312" w:hAnsi="仿宋_GB2312" w:eastAsia="仿宋_GB2312" w:cs="仿宋_GB2312"/>
          <w:color w:val="auto"/>
          <w:sz w:val="32"/>
          <w:szCs w:val="32"/>
          <w:u w:val="none"/>
          <w:lang w:val="en-US" w:eastAsia="zh-CN"/>
        </w:rPr>
      </w:pPr>
      <w:r>
        <w:rPr>
          <w:rFonts w:hint="default" w:ascii="黑体" w:hAnsi="黑体" w:eastAsia="黑体" w:cs="黑体"/>
          <w:color w:val="auto"/>
          <w:sz w:val="32"/>
          <w:szCs w:val="32"/>
          <w:u w:val="none"/>
          <w:lang w:val="en-US" w:eastAsia="zh-CN"/>
        </w:rPr>
        <w:t xml:space="preserve">第八条 </w:t>
      </w:r>
      <w:r>
        <w:rPr>
          <w:rFonts w:hint="eastAsia" w:ascii="Times New Roman" w:hAnsi="Times New Roman" w:eastAsia="方正仿宋_GBK" w:cs="Times New Roman"/>
          <w:color w:val="auto"/>
          <w:sz w:val="32"/>
          <w:szCs w:val="32"/>
          <w:u w:val="none"/>
          <w:lang w:val="en-US" w:eastAsia="zh-CN"/>
        </w:rPr>
        <w:t xml:space="preserve"> </w:t>
      </w:r>
      <w:r>
        <w:rPr>
          <w:rFonts w:hint="default" w:ascii="仿宋_GB2312" w:hAnsi="仿宋_GB2312" w:eastAsia="仿宋_GB2312" w:cs="仿宋_GB2312"/>
          <w:color w:val="auto"/>
          <w:sz w:val="32"/>
          <w:szCs w:val="32"/>
          <w:u w:val="none"/>
          <w:lang w:val="en-US" w:eastAsia="zh-CN"/>
        </w:rPr>
        <w:t>县（区）人民政府指定的排水与污水主管部门应当依据乡镇政府驻地污水处理规划，根据乡镇政府驻地的人口规模、污水成分、污水排放规模，以及生态环境敏感程度和受纳水体的环境容量、卫生防护距离等因素，科学设计、统筹安排乡镇政府驻地污水处理设施建设（含配套管网、泵站、污泥处置、再生水利用等）。</w:t>
      </w:r>
    </w:p>
    <w:p w14:paraId="0385BE49">
      <w:pPr>
        <w:keepNext w:val="0"/>
        <w:keepLines w:val="0"/>
        <w:pageBreakBefore w:val="0"/>
        <w:widowControl w:val="0"/>
        <w:kinsoku/>
        <w:wordWrap/>
        <w:overflowPunct w:val="0"/>
        <w:topLinePunct w:val="0"/>
        <w:autoSpaceDE w:val="0"/>
        <w:autoSpaceDN/>
        <w:bidi w:val="0"/>
        <w:adjustRightInd/>
        <w:snapToGrid/>
        <w:spacing w:line="240" w:lineRule="auto"/>
        <w:ind w:left="0" w:leftChars="0" w:firstLine="640" w:firstLineChars="200"/>
        <w:jc w:val="both"/>
        <w:textAlignment w:val="auto"/>
        <w:rPr>
          <w:rFonts w:hint="default" w:ascii="仿宋_GB2312" w:hAnsi="仿宋_GB2312" w:eastAsia="仿宋_GB2312" w:cs="仿宋_GB2312"/>
          <w:color w:val="auto"/>
          <w:sz w:val="32"/>
          <w:szCs w:val="32"/>
          <w:u w:val="none"/>
          <w:lang w:val="en-US" w:eastAsia="zh-CN"/>
        </w:rPr>
      </w:pPr>
      <w:r>
        <w:rPr>
          <w:rFonts w:hint="default" w:ascii="黑体" w:hAnsi="黑体" w:eastAsia="黑体" w:cs="黑体"/>
          <w:color w:val="auto"/>
          <w:sz w:val="32"/>
          <w:szCs w:val="32"/>
          <w:u w:val="none"/>
          <w:lang w:val="en-US" w:eastAsia="zh-CN"/>
        </w:rPr>
        <w:t>第九条</w:t>
      </w:r>
      <w:r>
        <w:rPr>
          <w:rFonts w:hint="default" w:ascii="Times New Roman" w:hAnsi="Times New Roman" w:eastAsia="方正仿宋_GBK" w:cs="Times New Roman"/>
          <w:color w:val="auto"/>
          <w:sz w:val="32"/>
          <w:szCs w:val="32"/>
          <w:u w:val="none"/>
        </w:rPr>
        <w:t xml:space="preserve">  </w:t>
      </w:r>
      <w:r>
        <w:rPr>
          <w:rFonts w:hint="default" w:ascii="仿宋_GB2312" w:hAnsi="仿宋_GB2312" w:eastAsia="仿宋_GB2312" w:cs="仿宋_GB2312"/>
          <w:color w:val="auto"/>
          <w:sz w:val="32"/>
          <w:szCs w:val="32"/>
          <w:u w:val="none"/>
          <w:lang w:val="en-US" w:eastAsia="zh-CN"/>
        </w:rPr>
        <w:t>县（区）人民政府指定的排水与污水主管部门应当对已建成的设计不合理、处理能力不符合实际需求、出水水质未达到国家和省规定的标准、管网不配套或者出现损坏、老化等情形的乡镇政府驻地集中式污水处理设施，制定更新改造计划并组织实施。</w:t>
      </w:r>
    </w:p>
    <w:p w14:paraId="6EA81A28">
      <w:pPr>
        <w:keepNext w:val="0"/>
        <w:keepLines w:val="0"/>
        <w:pageBreakBefore w:val="0"/>
        <w:widowControl w:val="0"/>
        <w:kinsoku/>
        <w:wordWrap/>
        <w:overflowPunct w:val="0"/>
        <w:topLinePunct w:val="0"/>
        <w:autoSpaceDE w:val="0"/>
        <w:autoSpaceDN/>
        <w:bidi w:val="0"/>
        <w:adjustRightInd/>
        <w:snapToGrid/>
        <w:spacing w:line="240" w:lineRule="auto"/>
        <w:ind w:left="0" w:leftChars="0" w:firstLine="640" w:firstLineChars="200"/>
        <w:jc w:val="both"/>
        <w:textAlignment w:val="auto"/>
        <w:rPr>
          <w:rFonts w:hint="default" w:ascii="仿宋_GB2312" w:hAnsi="仿宋_GB2312" w:eastAsia="仿宋_GB2312" w:cs="仿宋_GB2312"/>
          <w:color w:val="auto"/>
          <w:sz w:val="32"/>
          <w:szCs w:val="32"/>
          <w:u w:val="none"/>
          <w:lang w:val="en-US" w:eastAsia="zh-CN"/>
        </w:rPr>
      </w:pPr>
      <w:r>
        <w:rPr>
          <w:rFonts w:hint="default" w:ascii="黑体" w:hAnsi="黑体" w:eastAsia="黑体" w:cs="黑体"/>
          <w:color w:val="auto"/>
          <w:sz w:val="32"/>
          <w:szCs w:val="32"/>
          <w:u w:val="none"/>
          <w:lang w:val="en-US" w:eastAsia="zh-CN"/>
        </w:rPr>
        <w:t>第十条</w:t>
      </w:r>
      <w:r>
        <w:rPr>
          <w:rFonts w:hint="default" w:ascii="Times New Roman" w:hAnsi="Times New Roman" w:eastAsia="方正仿宋_GBK" w:cs="Times New Roman"/>
          <w:color w:val="auto"/>
          <w:sz w:val="32"/>
          <w:szCs w:val="32"/>
          <w:u w:val="none"/>
        </w:rPr>
        <w:t xml:space="preserve"> </w:t>
      </w:r>
      <w:r>
        <w:rPr>
          <w:rFonts w:hint="default" w:ascii="Times New Roman" w:hAnsi="Times New Roman" w:eastAsia="方正仿宋_GBK" w:cs="Times New Roman"/>
          <w:color w:val="auto"/>
          <w:sz w:val="32"/>
          <w:szCs w:val="32"/>
          <w:u w:val="none"/>
          <w:lang w:val="en-US" w:eastAsia="zh-CN"/>
        </w:rPr>
        <w:t xml:space="preserve"> </w:t>
      </w:r>
      <w:r>
        <w:rPr>
          <w:rFonts w:hint="default" w:ascii="仿宋_GB2312" w:hAnsi="仿宋_GB2312" w:eastAsia="仿宋_GB2312" w:cs="仿宋_GB2312"/>
          <w:color w:val="auto"/>
          <w:sz w:val="32"/>
          <w:szCs w:val="32"/>
          <w:u w:val="none"/>
          <w:lang w:val="en-US" w:eastAsia="zh-CN"/>
        </w:rPr>
        <w:t>县（区）财政部门应当将乡镇政府驻地集中式污水处理设施规划、建设、改造、维护、管理以及污水处理运营成本差额补贴等经费列入本级政府财政预算。建立保障乡镇政府驻地污水处理设施正常运营的政府补贴机制，确保乡镇政府驻地污水处理设施达标排放、运行稳定可持续。</w:t>
      </w:r>
    </w:p>
    <w:p w14:paraId="72C94895">
      <w:pPr>
        <w:keepNext w:val="0"/>
        <w:keepLines w:val="0"/>
        <w:pageBreakBefore w:val="0"/>
        <w:widowControl w:val="0"/>
        <w:kinsoku/>
        <w:wordWrap/>
        <w:overflowPunct w:val="0"/>
        <w:topLinePunct w:val="0"/>
        <w:autoSpaceDE w:val="0"/>
        <w:autoSpaceDN/>
        <w:bidi w:val="0"/>
        <w:adjustRightInd/>
        <w:snapToGrid/>
        <w:spacing w:line="240" w:lineRule="auto"/>
        <w:ind w:left="0" w:leftChars="0" w:firstLine="640" w:firstLineChars="200"/>
        <w:jc w:val="both"/>
        <w:textAlignment w:val="auto"/>
        <w:rPr>
          <w:rFonts w:hint="default" w:ascii="仿宋_GB2312" w:hAnsi="仿宋_GB2312" w:eastAsia="仿宋_GB2312" w:cs="仿宋_GB2312"/>
          <w:color w:val="auto"/>
          <w:sz w:val="32"/>
          <w:szCs w:val="32"/>
          <w:u w:val="none"/>
          <w:lang w:val="en-US" w:eastAsia="zh-CN"/>
        </w:rPr>
      </w:pPr>
      <w:r>
        <w:rPr>
          <w:rFonts w:hint="default" w:ascii="黑体" w:hAnsi="黑体" w:eastAsia="黑体" w:cs="黑体"/>
          <w:color w:val="auto"/>
          <w:sz w:val="32"/>
          <w:szCs w:val="32"/>
          <w:u w:val="none"/>
          <w:lang w:val="en-US" w:eastAsia="zh-CN"/>
        </w:rPr>
        <w:t>第十一条</w:t>
      </w:r>
      <w:r>
        <w:rPr>
          <w:rFonts w:hint="default" w:ascii="Times New Roman" w:hAnsi="Times New Roman" w:eastAsia="方正楷体_GBK" w:cs="Times New Roman"/>
          <w:color w:val="auto"/>
          <w:sz w:val="32"/>
          <w:szCs w:val="32"/>
          <w:u w:val="none"/>
          <w:lang w:val="en-US" w:eastAsia="zh-CN"/>
        </w:rPr>
        <w:t xml:space="preserve"> </w:t>
      </w:r>
      <w:r>
        <w:rPr>
          <w:rFonts w:hint="eastAsia" w:ascii="Times New Roman" w:hAnsi="Times New Roman" w:eastAsia="方正仿宋_GBK" w:cs="Times New Roman"/>
          <w:color w:val="auto"/>
          <w:sz w:val="32"/>
          <w:szCs w:val="32"/>
          <w:u w:val="none"/>
          <w:lang w:val="en-US" w:eastAsia="zh-CN"/>
        </w:rPr>
        <w:t xml:space="preserve"> </w:t>
      </w:r>
      <w:r>
        <w:rPr>
          <w:rFonts w:hint="default" w:ascii="仿宋_GB2312" w:hAnsi="仿宋_GB2312" w:eastAsia="仿宋_GB2312" w:cs="仿宋_GB2312"/>
          <w:color w:val="auto"/>
          <w:sz w:val="32"/>
          <w:szCs w:val="32"/>
          <w:u w:val="none"/>
          <w:lang w:val="en-US" w:eastAsia="zh-CN"/>
        </w:rPr>
        <w:t>乡镇人民政府按照本办法和上级人民政府规定的职责，配合有关部门做好辖区内乡镇政府驻地污水处理设施的管理、监督、污水处理收费等工作。</w:t>
      </w:r>
    </w:p>
    <w:p w14:paraId="4B382805">
      <w:pPr>
        <w:keepNext w:val="0"/>
        <w:keepLines w:val="0"/>
        <w:pageBreakBefore w:val="0"/>
        <w:widowControl w:val="0"/>
        <w:kinsoku/>
        <w:wordWrap/>
        <w:overflowPunct w:val="0"/>
        <w:topLinePunct w:val="0"/>
        <w:autoSpaceDE w:val="0"/>
        <w:autoSpaceDN/>
        <w:bidi w:val="0"/>
        <w:adjustRightInd/>
        <w:snapToGrid/>
        <w:spacing w:line="240" w:lineRule="auto"/>
        <w:ind w:left="0" w:leftChars="0" w:firstLine="640" w:firstLineChars="200"/>
        <w:jc w:val="both"/>
        <w:textAlignment w:val="auto"/>
        <w:rPr>
          <w:rFonts w:hint="default" w:ascii="Times New Roman" w:hAnsi="Times New Roman" w:eastAsia="方正黑体_GBK" w:cs="Times New Roman"/>
          <w:color w:val="auto"/>
          <w:sz w:val="32"/>
          <w:szCs w:val="32"/>
          <w:u w:val="none"/>
        </w:rPr>
      </w:pPr>
    </w:p>
    <w:p w14:paraId="1B4806E9">
      <w:pPr>
        <w:keepNext w:val="0"/>
        <w:keepLines w:val="0"/>
        <w:pageBreakBefore w:val="0"/>
        <w:widowControl w:val="0"/>
        <w:kinsoku/>
        <w:wordWrap/>
        <w:overflowPunct w:val="0"/>
        <w:topLinePunct w:val="0"/>
        <w:autoSpaceDE w:val="0"/>
        <w:autoSpaceDN/>
        <w:bidi w:val="0"/>
        <w:adjustRightInd/>
        <w:snapToGrid/>
        <w:spacing w:line="240" w:lineRule="auto"/>
        <w:jc w:val="center"/>
        <w:textAlignment w:val="auto"/>
        <w:rPr>
          <w:rFonts w:hint="default" w:ascii="黑体" w:hAnsi="黑体" w:eastAsia="黑体" w:cs="黑体"/>
          <w:color w:val="auto"/>
          <w:sz w:val="32"/>
          <w:szCs w:val="32"/>
          <w:u w:val="none"/>
          <w:lang w:val="en-US" w:eastAsia="zh-CN"/>
        </w:rPr>
      </w:pPr>
      <w:r>
        <w:rPr>
          <w:rFonts w:hint="default" w:ascii="黑体" w:hAnsi="黑体" w:eastAsia="黑体" w:cs="黑体"/>
          <w:color w:val="auto"/>
          <w:sz w:val="32"/>
          <w:szCs w:val="32"/>
          <w:u w:val="none"/>
          <w:lang w:val="en-US" w:eastAsia="zh-CN"/>
        </w:rPr>
        <w:t>第四章</w:t>
      </w:r>
      <w:r>
        <w:rPr>
          <w:rFonts w:hint="eastAsia" w:ascii="黑体" w:hAnsi="黑体" w:eastAsia="黑体" w:cs="黑体"/>
          <w:color w:val="auto"/>
          <w:sz w:val="32"/>
          <w:szCs w:val="32"/>
          <w:u w:val="none"/>
          <w:lang w:val="en-US" w:eastAsia="zh-CN"/>
        </w:rPr>
        <w:t xml:space="preserve">  </w:t>
      </w:r>
      <w:r>
        <w:rPr>
          <w:rFonts w:hint="default" w:ascii="黑体" w:hAnsi="黑体" w:eastAsia="黑体" w:cs="黑体"/>
          <w:color w:val="auto"/>
          <w:sz w:val="32"/>
          <w:szCs w:val="32"/>
          <w:u w:val="none"/>
          <w:lang w:val="en-US" w:eastAsia="zh-CN"/>
        </w:rPr>
        <w:t>运维管理</w:t>
      </w:r>
    </w:p>
    <w:p w14:paraId="07C79B14">
      <w:pPr>
        <w:pStyle w:val="2"/>
        <w:keepNext w:val="0"/>
        <w:keepLines w:val="0"/>
        <w:pageBreakBefore w:val="0"/>
        <w:widowControl w:val="0"/>
        <w:kinsoku/>
        <w:wordWrap/>
        <w:topLinePunct w:val="0"/>
        <w:autoSpaceDN/>
        <w:bidi w:val="0"/>
        <w:adjustRightInd/>
        <w:spacing w:line="240" w:lineRule="auto"/>
        <w:textAlignment w:val="auto"/>
        <w:rPr>
          <w:rFonts w:hint="default"/>
          <w:lang w:val="en-US" w:eastAsia="zh-CN"/>
        </w:rPr>
      </w:pPr>
    </w:p>
    <w:p w14:paraId="53CE224C">
      <w:pPr>
        <w:keepNext w:val="0"/>
        <w:keepLines w:val="0"/>
        <w:pageBreakBefore w:val="0"/>
        <w:widowControl w:val="0"/>
        <w:kinsoku/>
        <w:wordWrap/>
        <w:overflowPunct w:val="0"/>
        <w:topLinePunct w:val="0"/>
        <w:autoSpaceDE w:val="0"/>
        <w:autoSpaceDN/>
        <w:bidi w:val="0"/>
        <w:adjustRightInd/>
        <w:snapToGrid/>
        <w:spacing w:line="240" w:lineRule="auto"/>
        <w:ind w:left="0" w:leftChars="0" w:firstLine="640" w:firstLineChars="200"/>
        <w:jc w:val="both"/>
        <w:textAlignment w:val="auto"/>
        <w:rPr>
          <w:rFonts w:hint="default" w:ascii="仿宋_GB2312" w:hAnsi="仿宋_GB2312" w:eastAsia="仿宋_GB2312" w:cs="仿宋_GB2312"/>
          <w:color w:val="auto"/>
          <w:sz w:val="32"/>
          <w:szCs w:val="32"/>
          <w:u w:val="none"/>
          <w:lang w:val="en-US" w:eastAsia="zh-CN"/>
        </w:rPr>
      </w:pPr>
      <w:r>
        <w:rPr>
          <w:rFonts w:hint="default" w:ascii="黑体" w:hAnsi="黑体" w:eastAsia="黑体" w:cs="黑体"/>
          <w:color w:val="auto"/>
          <w:sz w:val="32"/>
          <w:szCs w:val="32"/>
          <w:u w:val="none"/>
          <w:lang w:val="en-US" w:eastAsia="zh-CN"/>
        </w:rPr>
        <w:t>第十二条</w:t>
      </w:r>
      <w:r>
        <w:rPr>
          <w:rFonts w:hint="default" w:ascii="Times New Roman" w:hAnsi="Times New Roman" w:eastAsia="方正仿宋_GBK" w:cs="Times New Roman"/>
          <w:color w:val="auto"/>
          <w:sz w:val="32"/>
          <w:szCs w:val="32"/>
          <w:u w:val="none"/>
        </w:rPr>
        <w:t xml:space="preserve">  </w:t>
      </w:r>
      <w:r>
        <w:rPr>
          <w:rFonts w:hint="default" w:ascii="仿宋_GB2312" w:hAnsi="仿宋_GB2312" w:eastAsia="仿宋_GB2312" w:cs="仿宋_GB2312"/>
          <w:color w:val="auto"/>
          <w:sz w:val="32"/>
          <w:szCs w:val="32"/>
          <w:u w:val="none"/>
          <w:lang w:val="en-US" w:eastAsia="zh-CN"/>
        </w:rPr>
        <w:t>县（区）人民政府指定的排水与污水主管部门可以通过组建专业污水处理设施运营维护单位或者以特许经营、政府购买服务等方式确定污水处理设施运营维护单位，对政府投资建设的乡镇政府驻地集中式污水处理设施与服务片区管网进行维护、运营、管理</w:t>
      </w:r>
      <w:r>
        <w:rPr>
          <w:rFonts w:hint="eastAsia" w:ascii="仿宋_GB2312" w:hAnsi="仿宋_GB2312" w:eastAsia="仿宋_GB2312" w:cs="仿宋_GB2312"/>
          <w:color w:val="auto"/>
          <w:sz w:val="32"/>
          <w:szCs w:val="32"/>
          <w:u w:val="none"/>
          <w:lang w:val="en-US" w:eastAsia="zh-CN"/>
        </w:rPr>
        <w:t>，</w:t>
      </w:r>
      <w:r>
        <w:rPr>
          <w:rFonts w:hint="default" w:ascii="仿宋_GB2312" w:hAnsi="仿宋_GB2312" w:eastAsia="仿宋_GB2312" w:cs="仿宋_GB2312"/>
          <w:color w:val="auto"/>
          <w:sz w:val="32"/>
          <w:szCs w:val="32"/>
          <w:u w:val="none"/>
          <w:lang w:val="en-US" w:eastAsia="zh-CN"/>
        </w:rPr>
        <w:t>并监督其开展以下工作：</w:t>
      </w:r>
    </w:p>
    <w:p w14:paraId="10039D9D">
      <w:pPr>
        <w:keepNext w:val="0"/>
        <w:keepLines w:val="0"/>
        <w:pageBreakBefore w:val="0"/>
        <w:widowControl w:val="0"/>
        <w:kinsoku/>
        <w:wordWrap/>
        <w:overflowPunct w:val="0"/>
        <w:topLinePunct w:val="0"/>
        <w:autoSpaceDE w:val="0"/>
        <w:autoSpaceDN/>
        <w:bidi w:val="0"/>
        <w:adjustRightInd/>
        <w:snapToGrid/>
        <w:spacing w:line="240" w:lineRule="auto"/>
        <w:ind w:left="0" w:leftChars="0" w:firstLine="640" w:firstLineChars="200"/>
        <w:jc w:val="both"/>
        <w:textAlignment w:val="auto"/>
        <w:rPr>
          <w:rFonts w:hint="default" w:ascii="仿宋_GB2312" w:hAnsi="仿宋_GB2312" w:eastAsia="仿宋_GB2312" w:cs="仿宋_GB2312"/>
          <w:color w:val="auto"/>
          <w:sz w:val="32"/>
          <w:szCs w:val="32"/>
          <w:u w:val="none"/>
          <w:lang w:val="en-US" w:eastAsia="zh-CN"/>
        </w:rPr>
      </w:pPr>
      <w:r>
        <w:rPr>
          <w:rFonts w:hint="default" w:ascii="仿宋_GB2312" w:hAnsi="仿宋_GB2312" w:eastAsia="仿宋_GB2312" w:cs="仿宋_GB2312"/>
          <w:color w:val="auto"/>
          <w:sz w:val="32"/>
          <w:szCs w:val="32"/>
          <w:u w:val="none"/>
          <w:lang w:val="en-US" w:eastAsia="zh-CN"/>
        </w:rPr>
        <w:t>（一）按照国家、省、市等相关标准，开展乡镇政府驻地污水处理设施运维管理工作，建立运维管理队伍，制定运维管理制度，完善运维管理台账，每年向县级人民政府和生态环境主管部门报告运维管理情况</w:t>
      </w:r>
      <w:r>
        <w:rPr>
          <w:rFonts w:hint="eastAsia" w:ascii="仿宋_GB2312" w:hAnsi="仿宋_GB2312" w:eastAsia="仿宋_GB2312" w:cs="仿宋_GB2312"/>
          <w:color w:val="auto"/>
          <w:sz w:val="32"/>
          <w:szCs w:val="32"/>
          <w:u w:val="none"/>
          <w:lang w:val="en-US" w:eastAsia="zh-CN"/>
        </w:rPr>
        <w:t>。</w:t>
      </w:r>
    </w:p>
    <w:p w14:paraId="5BE6912F">
      <w:pPr>
        <w:keepNext w:val="0"/>
        <w:keepLines w:val="0"/>
        <w:pageBreakBefore w:val="0"/>
        <w:widowControl w:val="0"/>
        <w:kinsoku/>
        <w:wordWrap/>
        <w:overflowPunct w:val="0"/>
        <w:topLinePunct w:val="0"/>
        <w:autoSpaceDE w:val="0"/>
        <w:autoSpaceDN/>
        <w:bidi w:val="0"/>
        <w:adjustRightInd/>
        <w:snapToGrid/>
        <w:spacing w:line="240" w:lineRule="auto"/>
        <w:ind w:left="0" w:leftChars="0" w:firstLine="640" w:firstLineChars="200"/>
        <w:jc w:val="both"/>
        <w:textAlignment w:val="auto"/>
        <w:rPr>
          <w:rFonts w:hint="default" w:ascii="仿宋_GB2312" w:hAnsi="仿宋_GB2312" w:eastAsia="仿宋_GB2312" w:cs="仿宋_GB2312"/>
          <w:color w:val="auto"/>
          <w:sz w:val="32"/>
          <w:szCs w:val="32"/>
          <w:u w:val="none"/>
          <w:lang w:val="en-US" w:eastAsia="zh-CN"/>
        </w:rPr>
      </w:pPr>
      <w:r>
        <w:rPr>
          <w:rFonts w:hint="default" w:ascii="仿宋_GB2312" w:hAnsi="仿宋_GB2312" w:eastAsia="仿宋_GB2312" w:cs="仿宋_GB2312"/>
          <w:color w:val="auto"/>
          <w:sz w:val="32"/>
          <w:szCs w:val="32"/>
          <w:u w:val="none"/>
          <w:lang w:val="en-US" w:eastAsia="zh-CN"/>
        </w:rPr>
        <w:t>（二）监督运维单位履行运维服务合同。合同内容应包括但不限于双方权利、义务、服务内容和期限、进出水水质和水量、按绩效付费、安全及违约责任等</w:t>
      </w:r>
      <w:r>
        <w:rPr>
          <w:rFonts w:hint="eastAsia" w:ascii="仿宋_GB2312" w:hAnsi="仿宋_GB2312" w:eastAsia="仿宋_GB2312" w:cs="仿宋_GB2312"/>
          <w:color w:val="auto"/>
          <w:sz w:val="32"/>
          <w:szCs w:val="32"/>
          <w:u w:val="none"/>
          <w:lang w:val="en-US" w:eastAsia="zh-CN"/>
        </w:rPr>
        <w:t>。</w:t>
      </w:r>
    </w:p>
    <w:p w14:paraId="21720835">
      <w:pPr>
        <w:keepNext w:val="0"/>
        <w:keepLines w:val="0"/>
        <w:pageBreakBefore w:val="0"/>
        <w:widowControl w:val="0"/>
        <w:kinsoku/>
        <w:wordWrap/>
        <w:overflowPunct w:val="0"/>
        <w:topLinePunct w:val="0"/>
        <w:autoSpaceDE w:val="0"/>
        <w:autoSpaceDN/>
        <w:bidi w:val="0"/>
        <w:adjustRightInd/>
        <w:snapToGrid/>
        <w:spacing w:line="240" w:lineRule="auto"/>
        <w:ind w:left="0" w:leftChars="0" w:firstLine="640" w:firstLineChars="200"/>
        <w:jc w:val="both"/>
        <w:textAlignment w:val="auto"/>
        <w:rPr>
          <w:rFonts w:hint="default" w:ascii="仿宋_GB2312" w:hAnsi="仿宋_GB2312" w:eastAsia="仿宋_GB2312" w:cs="仿宋_GB2312"/>
          <w:color w:val="auto"/>
          <w:sz w:val="32"/>
          <w:szCs w:val="32"/>
          <w:u w:val="none"/>
          <w:lang w:val="en-US" w:eastAsia="zh-CN"/>
        </w:rPr>
      </w:pPr>
      <w:r>
        <w:rPr>
          <w:rFonts w:hint="default" w:ascii="仿宋_GB2312" w:hAnsi="仿宋_GB2312" w:eastAsia="仿宋_GB2312" w:cs="仿宋_GB2312"/>
          <w:color w:val="auto"/>
          <w:sz w:val="32"/>
          <w:szCs w:val="32"/>
          <w:u w:val="none"/>
          <w:lang w:val="en-US" w:eastAsia="zh-CN"/>
        </w:rPr>
        <w:t>（三）保障乡镇政府驻地污水处理设施正常运维。运维过程中因设施检修、故障停用、改造升级等原因，确需停运全部或者部分污水处理设施、设备的，运维主管部门应及时了解停运原因、停运时间，采取合理替代处理措施，并提前书面将有关情况报所在地生态环境主管部门</w:t>
      </w:r>
      <w:r>
        <w:rPr>
          <w:rFonts w:hint="eastAsia" w:ascii="仿宋_GB2312" w:hAnsi="仿宋_GB2312" w:eastAsia="仿宋_GB2312" w:cs="仿宋_GB2312"/>
          <w:color w:val="auto"/>
          <w:sz w:val="32"/>
          <w:szCs w:val="32"/>
          <w:u w:val="none"/>
          <w:lang w:val="en-US" w:eastAsia="zh-CN"/>
        </w:rPr>
        <w:t>。</w:t>
      </w:r>
    </w:p>
    <w:p w14:paraId="73BCFE84">
      <w:pPr>
        <w:keepNext w:val="0"/>
        <w:keepLines w:val="0"/>
        <w:pageBreakBefore w:val="0"/>
        <w:widowControl w:val="0"/>
        <w:kinsoku/>
        <w:wordWrap/>
        <w:overflowPunct w:val="0"/>
        <w:topLinePunct w:val="0"/>
        <w:autoSpaceDE w:val="0"/>
        <w:autoSpaceDN/>
        <w:bidi w:val="0"/>
        <w:adjustRightInd/>
        <w:snapToGrid/>
        <w:spacing w:line="240" w:lineRule="auto"/>
        <w:ind w:left="0" w:leftChars="0" w:firstLine="640" w:firstLineChars="200"/>
        <w:jc w:val="both"/>
        <w:textAlignment w:val="auto"/>
        <w:rPr>
          <w:rFonts w:hint="default" w:ascii="仿宋_GB2312" w:hAnsi="仿宋_GB2312" w:eastAsia="仿宋_GB2312" w:cs="仿宋_GB2312"/>
          <w:color w:val="auto"/>
          <w:sz w:val="32"/>
          <w:szCs w:val="32"/>
          <w:u w:val="none"/>
          <w:lang w:val="en-US" w:eastAsia="zh-CN"/>
        </w:rPr>
      </w:pPr>
      <w:r>
        <w:rPr>
          <w:rFonts w:hint="default" w:ascii="仿宋_GB2312" w:hAnsi="仿宋_GB2312" w:eastAsia="仿宋_GB2312" w:cs="仿宋_GB2312"/>
          <w:color w:val="auto"/>
          <w:sz w:val="32"/>
          <w:szCs w:val="32"/>
          <w:u w:val="none"/>
          <w:lang w:val="en-US" w:eastAsia="zh-CN"/>
        </w:rPr>
        <w:t>（四）对乡镇政府驻地污水处理设施运维状况定期评估，对技术工艺不合理的，要及时进行调整；设施损坏或有安全隐患的，要及时组织维修；设施无服务对象或完全丧失功能且有替代措施的，报经县（区）生态环境主管部门同意后，由当地政府依法依规退出。</w:t>
      </w:r>
    </w:p>
    <w:p w14:paraId="5B48A13C">
      <w:pPr>
        <w:keepNext w:val="0"/>
        <w:keepLines w:val="0"/>
        <w:pageBreakBefore w:val="0"/>
        <w:widowControl w:val="0"/>
        <w:kinsoku/>
        <w:wordWrap/>
        <w:overflowPunct w:val="0"/>
        <w:topLinePunct w:val="0"/>
        <w:autoSpaceDE w:val="0"/>
        <w:autoSpaceDN/>
        <w:bidi w:val="0"/>
        <w:adjustRightInd/>
        <w:snapToGrid/>
        <w:spacing w:line="240" w:lineRule="auto"/>
        <w:ind w:left="0" w:leftChars="0" w:firstLine="640" w:firstLineChars="200"/>
        <w:jc w:val="both"/>
        <w:textAlignment w:val="auto"/>
        <w:rPr>
          <w:rFonts w:hint="default" w:ascii="仿宋_GB2312" w:hAnsi="仿宋_GB2312" w:eastAsia="仿宋_GB2312" w:cs="仿宋_GB2312"/>
          <w:color w:val="auto"/>
          <w:sz w:val="32"/>
          <w:szCs w:val="32"/>
          <w:u w:val="none"/>
          <w:lang w:val="en-US" w:eastAsia="zh-CN"/>
        </w:rPr>
      </w:pPr>
      <w:r>
        <w:rPr>
          <w:rFonts w:hint="default" w:ascii="仿宋_GB2312" w:hAnsi="仿宋_GB2312" w:eastAsia="仿宋_GB2312" w:cs="仿宋_GB2312"/>
          <w:color w:val="auto"/>
          <w:sz w:val="32"/>
          <w:szCs w:val="32"/>
          <w:u w:val="none"/>
          <w:lang w:val="en-US" w:eastAsia="zh-CN"/>
        </w:rPr>
        <w:t>（五）在适当位置公示运维单位名称及联系方式、监督电话</w:t>
      </w:r>
      <w:r>
        <w:rPr>
          <w:rFonts w:hint="eastAsia" w:ascii="仿宋_GB2312" w:hAnsi="仿宋_GB2312" w:eastAsia="仿宋_GB2312" w:cs="仿宋_GB2312"/>
          <w:color w:val="auto"/>
          <w:sz w:val="32"/>
          <w:szCs w:val="32"/>
          <w:u w:val="none"/>
          <w:lang w:val="en-US" w:eastAsia="zh-CN"/>
        </w:rPr>
        <w:t>、</w:t>
      </w:r>
      <w:r>
        <w:rPr>
          <w:rFonts w:hint="default" w:ascii="仿宋_GB2312" w:hAnsi="仿宋_GB2312" w:eastAsia="仿宋_GB2312" w:cs="仿宋_GB2312"/>
          <w:color w:val="auto"/>
          <w:sz w:val="32"/>
          <w:szCs w:val="32"/>
          <w:u w:val="none"/>
          <w:lang w:val="en-US" w:eastAsia="zh-CN"/>
        </w:rPr>
        <w:t>服务范围、期限等内容，接受公众监督。</w:t>
      </w:r>
    </w:p>
    <w:p w14:paraId="25711175">
      <w:pPr>
        <w:pStyle w:val="2"/>
        <w:keepNext w:val="0"/>
        <w:keepLines w:val="0"/>
        <w:pageBreakBefore w:val="0"/>
        <w:widowControl w:val="0"/>
        <w:kinsoku/>
        <w:wordWrap/>
        <w:overflowPunct w:val="0"/>
        <w:topLinePunct w:val="0"/>
        <w:autoSpaceDE w:val="0"/>
        <w:autoSpaceDN/>
        <w:bidi w:val="0"/>
        <w:adjustRightInd/>
        <w:spacing w:line="240" w:lineRule="auto"/>
        <w:ind w:firstLine="420" w:firstLineChars="200"/>
        <w:jc w:val="both"/>
        <w:textAlignment w:val="auto"/>
        <w:rPr>
          <w:rFonts w:hint="default"/>
          <w:lang w:eastAsia="zh-CN"/>
        </w:rPr>
      </w:pPr>
    </w:p>
    <w:p w14:paraId="5CB8B1AF">
      <w:pPr>
        <w:keepNext w:val="0"/>
        <w:keepLines w:val="0"/>
        <w:pageBreakBefore w:val="0"/>
        <w:widowControl w:val="0"/>
        <w:kinsoku/>
        <w:wordWrap/>
        <w:overflowPunct w:val="0"/>
        <w:topLinePunct w:val="0"/>
        <w:autoSpaceDE w:val="0"/>
        <w:autoSpaceDN/>
        <w:bidi w:val="0"/>
        <w:adjustRightInd/>
        <w:snapToGrid/>
        <w:spacing w:line="240" w:lineRule="auto"/>
        <w:jc w:val="center"/>
        <w:textAlignment w:val="auto"/>
        <w:rPr>
          <w:rFonts w:hint="default" w:ascii="黑体" w:hAnsi="黑体" w:eastAsia="黑体" w:cs="黑体"/>
          <w:color w:val="auto"/>
          <w:sz w:val="32"/>
          <w:szCs w:val="32"/>
          <w:u w:val="none"/>
          <w:lang w:val="en-US" w:eastAsia="zh-CN"/>
        </w:rPr>
      </w:pPr>
      <w:r>
        <w:rPr>
          <w:rFonts w:hint="default" w:ascii="黑体" w:hAnsi="黑体" w:eastAsia="黑体" w:cs="黑体"/>
          <w:color w:val="auto"/>
          <w:sz w:val="32"/>
          <w:szCs w:val="32"/>
          <w:u w:val="none"/>
          <w:lang w:val="en-US" w:eastAsia="zh-CN"/>
        </w:rPr>
        <w:t>第五章</w:t>
      </w:r>
      <w:r>
        <w:rPr>
          <w:rFonts w:hint="eastAsia" w:ascii="黑体" w:hAnsi="黑体" w:eastAsia="黑体" w:cs="黑体"/>
          <w:color w:val="auto"/>
          <w:sz w:val="32"/>
          <w:szCs w:val="32"/>
          <w:u w:val="none"/>
          <w:lang w:val="en-US" w:eastAsia="zh-CN"/>
        </w:rPr>
        <w:t xml:space="preserve">  </w:t>
      </w:r>
      <w:r>
        <w:rPr>
          <w:rFonts w:hint="default" w:ascii="黑体" w:hAnsi="黑体" w:eastAsia="黑体" w:cs="黑体"/>
          <w:color w:val="auto"/>
          <w:sz w:val="32"/>
          <w:szCs w:val="32"/>
          <w:u w:val="none"/>
          <w:lang w:val="en-US" w:eastAsia="zh-CN"/>
        </w:rPr>
        <w:t>监督管理</w:t>
      </w:r>
    </w:p>
    <w:p w14:paraId="52C816B6">
      <w:pPr>
        <w:pStyle w:val="2"/>
        <w:keepNext w:val="0"/>
        <w:keepLines w:val="0"/>
        <w:pageBreakBefore w:val="0"/>
        <w:widowControl w:val="0"/>
        <w:kinsoku/>
        <w:wordWrap/>
        <w:topLinePunct w:val="0"/>
        <w:autoSpaceDN/>
        <w:bidi w:val="0"/>
        <w:adjustRightInd/>
        <w:spacing w:line="240" w:lineRule="auto"/>
        <w:textAlignment w:val="auto"/>
        <w:rPr>
          <w:rFonts w:hint="default"/>
          <w:lang w:val="en-US" w:eastAsia="zh-CN"/>
        </w:rPr>
      </w:pPr>
    </w:p>
    <w:p w14:paraId="2C54D598">
      <w:pPr>
        <w:keepNext w:val="0"/>
        <w:keepLines w:val="0"/>
        <w:pageBreakBefore w:val="0"/>
        <w:widowControl w:val="0"/>
        <w:kinsoku/>
        <w:wordWrap/>
        <w:overflowPunct w:val="0"/>
        <w:topLinePunct w:val="0"/>
        <w:autoSpaceDE w:val="0"/>
        <w:autoSpaceDN/>
        <w:bidi w:val="0"/>
        <w:adjustRightInd/>
        <w:snapToGrid/>
        <w:spacing w:line="240" w:lineRule="auto"/>
        <w:ind w:left="0" w:leftChars="0" w:firstLine="640" w:firstLineChars="200"/>
        <w:jc w:val="both"/>
        <w:textAlignment w:val="auto"/>
        <w:rPr>
          <w:rFonts w:hint="default" w:ascii="仿宋_GB2312" w:hAnsi="仿宋_GB2312" w:eastAsia="仿宋_GB2312" w:cs="仿宋_GB2312"/>
          <w:color w:val="auto"/>
          <w:sz w:val="32"/>
          <w:szCs w:val="32"/>
          <w:u w:val="none"/>
          <w:lang w:val="en-US" w:eastAsia="zh-CN"/>
        </w:rPr>
      </w:pPr>
      <w:r>
        <w:rPr>
          <w:rFonts w:hint="default" w:ascii="黑体" w:hAnsi="黑体" w:eastAsia="黑体" w:cs="黑体"/>
          <w:color w:val="auto"/>
          <w:sz w:val="32"/>
          <w:szCs w:val="32"/>
          <w:u w:val="none"/>
          <w:lang w:val="en-US" w:eastAsia="zh-CN"/>
        </w:rPr>
        <w:t>第十三条</w:t>
      </w:r>
      <w:r>
        <w:rPr>
          <w:rFonts w:hint="default" w:ascii="Times New Roman" w:hAnsi="Times New Roman" w:eastAsia="方正仿宋_GBK" w:cs="Times New Roman"/>
          <w:color w:val="auto"/>
          <w:sz w:val="32"/>
          <w:szCs w:val="32"/>
          <w:u w:val="none"/>
          <w:lang w:val="en-US" w:eastAsia="zh-CN"/>
        </w:rPr>
        <w:t xml:space="preserve"> </w:t>
      </w:r>
      <w:r>
        <w:rPr>
          <w:rFonts w:hint="default" w:ascii="Times New Roman" w:hAnsi="Times New Roman" w:eastAsia="方正仿宋_GBK" w:cs="Times New Roman"/>
          <w:color w:val="auto"/>
          <w:sz w:val="32"/>
          <w:szCs w:val="32"/>
          <w:u w:val="none"/>
        </w:rPr>
        <w:t xml:space="preserve"> </w:t>
      </w:r>
      <w:r>
        <w:rPr>
          <w:rFonts w:hint="default" w:ascii="仿宋_GB2312" w:hAnsi="仿宋_GB2312" w:eastAsia="仿宋_GB2312" w:cs="仿宋_GB2312"/>
          <w:color w:val="auto"/>
          <w:sz w:val="32"/>
          <w:szCs w:val="32"/>
          <w:u w:val="none"/>
          <w:lang w:val="en-US" w:eastAsia="zh-CN"/>
        </w:rPr>
        <w:t>市、县（区）生态环境主管部门负责</w:t>
      </w:r>
      <w:r>
        <w:rPr>
          <w:rFonts w:hint="eastAsia" w:ascii="仿宋_GB2312" w:hAnsi="仿宋_GB2312" w:eastAsia="仿宋_GB2312" w:cs="仿宋_GB2312"/>
          <w:color w:val="auto"/>
          <w:sz w:val="32"/>
          <w:szCs w:val="32"/>
          <w:u w:val="none"/>
          <w:lang w:val="en-US" w:eastAsia="zh-CN"/>
        </w:rPr>
        <w:t>对</w:t>
      </w:r>
      <w:r>
        <w:rPr>
          <w:rFonts w:hint="default" w:ascii="仿宋_GB2312" w:hAnsi="仿宋_GB2312" w:eastAsia="仿宋_GB2312" w:cs="仿宋_GB2312"/>
          <w:color w:val="auto"/>
          <w:sz w:val="32"/>
          <w:szCs w:val="32"/>
          <w:u w:val="none"/>
          <w:lang w:val="en-US" w:eastAsia="zh-CN"/>
        </w:rPr>
        <w:t>乡镇政府驻地污水处理设施的出水水质进行监督检查；依法查处超标排放、逃避监管等违法排污行为。</w:t>
      </w:r>
    </w:p>
    <w:p w14:paraId="0A318DC7">
      <w:pPr>
        <w:keepNext w:val="0"/>
        <w:keepLines w:val="0"/>
        <w:pageBreakBefore w:val="0"/>
        <w:widowControl w:val="0"/>
        <w:kinsoku/>
        <w:wordWrap/>
        <w:overflowPunct w:val="0"/>
        <w:topLinePunct w:val="0"/>
        <w:autoSpaceDE w:val="0"/>
        <w:autoSpaceDN/>
        <w:bidi w:val="0"/>
        <w:adjustRightInd/>
        <w:snapToGrid/>
        <w:spacing w:line="240" w:lineRule="auto"/>
        <w:ind w:left="0" w:leftChars="0" w:firstLine="640" w:firstLineChars="200"/>
        <w:jc w:val="both"/>
        <w:textAlignment w:val="auto"/>
        <w:rPr>
          <w:rFonts w:hint="default" w:ascii="仿宋_GB2312" w:hAnsi="仿宋_GB2312" w:eastAsia="仿宋_GB2312" w:cs="仿宋_GB2312"/>
          <w:color w:val="auto"/>
          <w:sz w:val="32"/>
          <w:szCs w:val="32"/>
          <w:u w:val="none"/>
          <w:lang w:val="en-US" w:eastAsia="zh-CN"/>
        </w:rPr>
      </w:pPr>
      <w:r>
        <w:rPr>
          <w:rFonts w:hint="default" w:ascii="黑体" w:hAnsi="黑体" w:eastAsia="黑体" w:cs="黑体"/>
          <w:color w:val="auto"/>
          <w:sz w:val="32"/>
          <w:szCs w:val="32"/>
          <w:u w:val="none"/>
          <w:lang w:val="en-US" w:eastAsia="zh-CN"/>
        </w:rPr>
        <w:t>第十四条</w:t>
      </w:r>
      <w:r>
        <w:rPr>
          <w:rFonts w:hint="default" w:ascii="Times New Roman" w:hAnsi="Times New Roman" w:eastAsia="方正仿宋_GBK" w:cs="Times New Roman"/>
          <w:color w:val="auto"/>
          <w:sz w:val="32"/>
          <w:szCs w:val="32"/>
          <w:u w:val="none"/>
          <w:lang w:val="en-US" w:eastAsia="zh-CN"/>
        </w:rPr>
        <w:t xml:space="preserve"> </w:t>
      </w:r>
      <w:r>
        <w:rPr>
          <w:rFonts w:hint="default" w:ascii="Times New Roman" w:hAnsi="Times New Roman" w:eastAsia="方正仿宋_GBK" w:cs="Times New Roman"/>
          <w:color w:val="auto"/>
          <w:sz w:val="32"/>
          <w:szCs w:val="32"/>
          <w:u w:val="none"/>
        </w:rPr>
        <w:t xml:space="preserve"> </w:t>
      </w:r>
      <w:r>
        <w:rPr>
          <w:rFonts w:hint="eastAsia" w:ascii="仿宋_GB2312" w:hAnsi="仿宋_GB2312" w:eastAsia="仿宋_GB2312" w:cs="仿宋_GB2312"/>
          <w:color w:val="auto"/>
          <w:sz w:val="32"/>
          <w:szCs w:val="32"/>
          <w:u w:val="none"/>
          <w:lang w:val="en-US" w:eastAsia="zh-CN"/>
        </w:rPr>
        <w:t>市</w:t>
      </w:r>
      <w:r>
        <w:rPr>
          <w:rFonts w:hint="default" w:ascii="仿宋_GB2312" w:hAnsi="仿宋_GB2312" w:eastAsia="仿宋_GB2312" w:cs="仿宋_GB2312"/>
          <w:color w:val="auto"/>
          <w:sz w:val="32"/>
          <w:szCs w:val="32"/>
          <w:u w:val="none"/>
          <w:lang w:val="en-US" w:eastAsia="zh-CN"/>
        </w:rPr>
        <w:t>生态环境</w:t>
      </w:r>
      <w:r>
        <w:rPr>
          <w:rFonts w:hint="eastAsia" w:ascii="仿宋_GB2312" w:hAnsi="仿宋_GB2312" w:eastAsia="仿宋_GB2312" w:cs="仿宋_GB2312"/>
          <w:color w:val="auto"/>
          <w:sz w:val="32"/>
          <w:szCs w:val="32"/>
          <w:u w:val="none"/>
          <w:lang w:val="en-US" w:eastAsia="zh-CN"/>
        </w:rPr>
        <w:t>主管</w:t>
      </w:r>
      <w:r>
        <w:rPr>
          <w:rFonts w:hint="default" w:ascii="仿宋_GB2312" w:hAnsi="仿宋_GB2312" w:eastAsia="仿宋_GB2312" w:cs="仿宋_GB2312"/>
          <w:color w:val="auto"/>
          <w:sz w:val="32"/>
          <w:szCs w:val="32"/>
          <w:u w:val="none"/>
          <w:lang w:val="en-US" w:eastAsia="zh-CN"/>
        </w:rPr>
        <w:t>部门负责指导监督农村生活污水收集处理，制定实施农村生活污水处理设施相关标准，定期通报、评估农村生活</w:t>
      </w:r>
      <w:r>
        <w:rPr>
          <w:rFonts w:hint="eastAsia" w:ascii="仿宋_GB2312" w:hAnsi="仿宋_GB2312" w:eastAsia="仿宋_GB2312" w:cs="仿宋_GB2312"/>
          <w:color w:val="auto"/>
          <w:sz w:val="32"/>
          <w:szCs w:val="32"/>
          <w:u w:val="none"/>
          <w:lang w:val="en-US" w:eastAsia="zh-CN"/>
        </w:rPr>
        <w:t>污水</w:t>
      </w:r>
      <w:r>
        <w:rPr>
          <w:rFonts w:hint="default" w:ascii="仿宋_GB2312" w:hAnsi="仿宋_GB2312" w:eastAsia="仿宋_GB2312" w:cs="仿宋_GB2312"/>
          <w:color w:val="auto"/>
          <w:sz w:val="32"/>
          <w:szCs w:val="32"/>
          <w:u w:val="none"/>
          <w:lang w:val="en-US" w:eastAsia="zh-CN"/>
        </w:rPr>
        <w:t>处理设施运维状况等</w:t>
      </w:r>
      <w:r>
        <w:rPr>
          <w:rFonts w:hint="eastAsia" w:ascii="仿宋_GB2312" w:hAnsi="仿宋_GB2312" w:eastAsia="仿宋_GB2312" w:cs="仿宋_GB2312"/>
          <w:color w:val="auto"/>
          <w:sz w:val="32"/>
          <w:szCs w:val="32"/>
          <w:u w:val="none"/>
          <w:lang w:val="en-US" w:eastAsia="zh-CN"/>
        </w:rPr>
        <w:t>。</w:t>
      </w:r>
      <w:r>
        <w:rPr>
          <w:rFonts w:hint="default" w:ascii="仿宋_GB2312" w:hAnsi="仿宋_GB2312" w:eastAsia="仿宋_GB2312" w:cs="仿宋_GB2312"/>
          <w:color w:val="auto"/>
          <w:sz w:val="32"/>
          <w:szCs w:val="32"/>
          <w:u w:val="none"/>
          <w:lang w:val="en-US" w:eastAsia="zh-CN"/>
        </w:rPr>
        <w:t>县（区）人民政府指定的排水与污水主管部门负责制订乡镇政府驻地污水处理设施运行维护考核办法，对乡镇政府驻地污水处理设施运行维护管理工作进行监督和考核。</w:t>
      </w:r>
    </w:p>
    <w:p w14:paraId="3CC96AA8">
      <w:pPr>
        <w:pStyle w:val="2"/>
        <w:keepNext w:val="0"/>
        <w:keepLines w:val="0"/>
        <w:pageBreakBefore w:val="0"/>
        <w:widowControl w:val="0"/>
        <w:kinsoku/>
        <w:wordWrap/>
        <w:overflowPunct w:val="0"/>
        <w:topLinePunct w:val="0"/>
        <w:autoSpaceDE w:val="0"/>
        <w:autoSpaceDN/>
        <w:bidi w:val="0"/>
        <w:adjustRightInd/>
        <w:snapToGrid/>
        <w:spacing w:line="240" w:lineRule="auto"/>
        <w:ind w:firstLine="640" w:firstLineChars="200"/>
        <w:jc w:val="both"/>
        <w:textAlignment w:val="auto"/>
        <w:rPr>
          <w:rFonts w:hint="default" w:ascii="仿宋_GB2312" w:hAnsi="仿宋_GB2312" w:eastAsia="仿宋_GB2312" w:cs="仿宋_GB2312"/>
          <w:color w:val="auto"/>
          <w:kern w:val="2"/>
          <w:sz w:val="32"/>
          <w:szCs w:val="32"/>
          <w:u w:val="none"/>
          <w:lang w:val="en-US" w:eastAsia="zh-CN" w:bidi="ar-SA"/>
        </w:rPr>
      </w:pPr>
      <w:r>
        <w:rPr>
          <w:rFonts w:hint="default" w:ascii="黑体" w:hAnsi="黑体" w:eastAsia="黑体" w:cs="黑体"/>
          <w:color w:val="auto"/>
          <w:kern w:val="2"/>
          <w:sz w:val="32"/>
          <w:szCs w:val="32"/>
          <w:u w:val="none"/>
          <w:lang w:val="en-US" w:eastAsia="zh-CN" w:bidi="ar-SA"/>
        </w:rPr>
        <w:t>第十五条</w:t>
      </w:r>
      <w:r>
        <w:rPr>
          <w:rFonts w:hint="default" w:ascii="Times New Roman" w:hAnsi="Times New Roman" w:eastAsia="方正仿宋_GBK" w:cs="Times New Roman"/>
          <w:color w:val="auto"/>
          <w:sz w:val="32"/>
          <w:szCs w:val="32"/>
          <w:u w:val="none"/>
          <w:lang w:val="en-US" w:eastAsia="zh-CN"/>
        </w:rPr>
        <w:t xml:space="preserve">  </w:t>
      </w:r>
      <w:r>
        <w:rPr>
          <w:rFonts w:hint="default" w:ascii="仿宋_GB2312" w:hAnsi="仿宋_GB2312" w:eastAsia="仿宋_GB2312" w:cs="仿宋_GB2312"/>
          <w:color w:val="auto"/>
          <w:kern w:val="2"/>
          <w:sz w:val="32"/>
          <w:szCs w:val="32"/>
          <w:u w:val="none"/>
          <w:lang w:val="en-US" w:eastAsia="zh-CN" w:bidi="ar-SA"/>
        </w:rPr>
        <w:t>乡镇政府驻地污水处理设施运营维护单位存在超标排放、逃避监管等违法排污行为的，由市、县（区）生态环境主管部门依法依规进行查处。</w:t>
      </w:r>
    </w:p>
    <w:p w14:paraId="7D7F94BD">
      <w:pPr>
        <w:pStyle w:val="2"/>
        <w:keepNext w:val="0"/>
        <w:keepLines w:val="0"/>
        <w:pageBreakBefore w:val="0"/>
        <w:widowControl w:val="0"/>
        <w:kinsoku/>
        <w:wordWrap/>
        <w:overflowPunct w:val="0"/>
        <w:topLinePunct w:val="0"/>
        <w:autoSpaceDE w:val="0"/>
        <w:autoSpaceDN/>
        <w:bidi w:val="0"/>
        <w:adjustRightInd/>
        <w:snapToGrid/>
        <w:spacing w:line="240" w:lineRule="auto"/>
        <w:ind w:left="0" w:leftChars="0" w:firstLine="640" w:firstLineChars="200"/>
        <w:jc w:val="both"/>
        <w:textAlignment w:val="auto"/>
        <w:rPr>
          <w:rFonts w:hint="default" w:ascii="仿宋_GB2312" w:hAnsi="仿宋_GB2312" w:eastAsia="仿宋_GB2312" w:cs="仿宋_GB2312"/>
          <w:color w:val="auto"/>
          <w:kern w:val="2"/>
          <w:sz w:val="32"/>
          <w:szCs w:val="32"/>
          <w:u w:val="none"/>
          <w:lang w:val="en-US" w:eastAsia="zh-CN" w:bidi="ar-SA"/>
        </w:rPr>
      </w:pPr>
      <w:r>
        <w:rPr>
          <w:rFonts w:hint="default" w:ascii="黑体" w:hAnsi="黑体" w:eastAsia="黑体" w:cs="黑体"/>
          <w:color w:val="auto"/>
          <w:kern w:val="2"/>
          <w:sz w:val="32"/>
          <w:szCs w:val="32"/>
          <w:u w:val="none"/>
          <w:lang w:val="en-US" w:eastAsia="zh-CN" w:bidi="ar-SA"/>
        </w:rPr>
        <w:t>第十六条</w:t>
      </w:r>
      <w:r>
        <w:rPr>
          <w:rFonts w:hint="default" w:ascii="Times New Roman" w:hAnsi="Times New Roman" w:eastAsia="方正仿宋_GBK" w:cs="Times New Roman"/>
          <w:color w:val="auto"/>
          <w:kern w:val="2"/>
          <w:sz w:val="32"/>
          <w:szCs w:val="32"/>
          <w:u w:val="none"/>
          <w:lang w:val="en-US" w:eastAsia="zh-CN" w:bidi="ar-SA"/>
        </w:rPr>
        <w:t xml:space="preserve"> </w:t>
      </w:r>
      <w:r>
        <w:rPr>
          <w:rFonts w:hint="eastAsia" w:ascii="Times New Roman" w:hAnsi="Times New Roman" w:eastAsia="方正仿宋_GBK" w:cs="Times New Roman"/>
          <w:color w:val="auto"/>
          <w:kern w:val="2"/>
          <w:sz w:val="32"/>
          <w:szCs w:val="32"/>
          <w:u w:val="none"/>
          <w:lang w:val="en-US" w:eastAsia="zh-CN" w:bidi="ar-SA"/>
        </w:rPr>
        <w:t xml:space="preserve"> </w:t>
      </w:r>
      <w:r>
        <w:rPr>
          <w:rFonts w:hint="default" w:ascii="仿宋_GB2312" w:hAnsi="仿宋_GB2312" w:eastAsia="仿宋_GB2312" w:cs="仿宋_GB2312"/>
          <w:color w:val="auto"/>
          <w:kern w:val="2"/>
          <w:sz w:val="32"/>
          <w:szCs w:val="32"/>
          <w:u w:val="none"/>
          <w:lang w:val="en-US" w:eastAsia="zh-CN" w:bidi="ar-SA"/>
        </w:rPr>
        <w:t>有关机关及其工作人员在亳州市乡镇政府驻地污水处理设施管理工作中不履行或者不正确履行本办法所规定职责的，由有权机关对负有责任的领导人员和直接责任人员依法给予处理。</w:t>
      </w:r>
    </w:p>
    <w:p w14:paraId="3E80EFD5">
      <w:pPr>
        <w:keepNext w:val="0"/>
        <w:keepLines w:val="0"/>
        <w:pageBreakBefore w:val="0"/>
        <w:widowControl w:val="0"/>
        <w:kinsoku/>
        <w:wordWrap/>
        <w:overflowPunct w:val="0"/>
        <w:topLinePunct w:val="0"/>
        <w:autoSpaceDE w:val="0"/>
        <w:autoSpaceDN/>
        <w:bidi w:val="0"/>
        <w:adjustRightInd/>
        <w:snapToGrid/>
        <w:spacing w:line="240" w:lineRule="auto"/>
        <w:ind w:left="0" w:leftChars="0" w:firstLine="640" w:firstLineChars="200"/>
        <w:jc w:val="both"/>
        <w:textAlignment w:val="auto"/>
        <w:rPr>
          <w:rFonts w:hint="default" w:ascii="Times New Roman" w:hAnsi="Times New Roman" w:eastAsia="方正黑体_GBK" w:cs="Times New Roman"/>
          <w:color w:val="auto"/>
          <w:sz w:val="32"/>
          <w:szCs w:val="32"/>
          <w:u w:val="none"/>
        </w:rPr>
      </w:pPr>
    </w:p>
    <w:p w14:paraId="5EABF1AB">
      <w:pPr>
        <w:keepNext w:val="0"/>
        <w:keepLines w:val="0"/>
        <w:pageBreakBefore w:val="0"/>
        <w:widowControl w:val="0"/>
        <w:kinsoku/>
        <w:wordWrap/>
        <w:overflowPunct w:val="0"/>
        <w:topLinePunct w:val="0"/>
        <w:autoSpaceDE w:val="0"/>
        <w:autoSpaceDN/>
        <w:bidi w:val="0"/>
        <w:adjustRightInd/>
        <w:snapToGrid/>
        <w:spacing w:line="240" w:lineRule="auto"/>
        <w:ind w:left="0" w:leftChars="0" w:right="0" w:rightChars="0" w:firstLine="0" w:firstLineChars="0"/>
        <w:jc w:val="center"/>
        <w:textAlignment w:val="auto"/>
        <w:rPr>
          <w:rFonts w:hint="default" w:ascii="黑体" w:hAnsi="黑体" w:eastAsia="黑体" w:cs="黑体"/>
          <w:color w:val="auto"/>
          <w:kern w:val="2"/>
          <w:sz w:val="32"/>
          <w:szCs w:val="32"/>
          <w:u w:val="none"/>
          <w:lang w:val="en-US" w:eastAsia="zh-CN" w:bidi="ar-SA"/>
        </w:rPr>
      </w:pPr>
      <w:r>
        <w:rPr>
          <w:rFonts w:hint="default" w:ascii="黑体" w:hAnsi="黑体" w:eastAsia="黑体" w:cs="黑体"/>
          <w:color w:val="auto"/>
          <w:kern w:val="2"/>
          <w:sz w:val="32"/>
          <w:szCs w:val="32"/>
          <w:u w:val="none"/>
          <w:lang w:val="en-US" w:eastAsia="zh-CN" w:bidi="ar-SA"/>
        </w:rPr>
        <w:t>第六章</w:t>
      </w:r>
      <w:r>
        <w:rPr>
          <w:rFonts w:hint="eastAsia" w:ascii="黑体" w:hAnsi="黑体" w:eastAsia="黑体" w:cs="黑体"/>
          <w:color w:val="auto"/>
          <w:kern w:val="2"/>
          <w:sz w:val="32"/>
          <w:szCs w:val="32"/>
          <w:u w:val="none"/>
          <w:lang w:val="en-US" w:eastAsia="zh-CN" w:bidi="ar-SA"/>
        </w:rPr>
        <w:t xml:space="preserve">  </w:t>
      </w:r>
      <w:r>
        <w:rPr>
          <w:rFonts w:hint="default" w:ascii="黑体" w:hAnsi="黑体" w:eastAsia="黑体" w:cs="黑体"/>
          <w:color w:val="auto"/>
          <w:kern w:val="2"/>
          <w:sz w:val="32"/>
          <w:szCs w:val="32"/>
          <w:u w:val="none"/>
          <w:lang w:val="en-US" w:eastAsia="zh-CN" w:bidi="ar-SA"/>
        </w:rPr>
        <w:t>附</w:t>
      </w:r>
      <w:r>
        <w:rPr>
          <w:rFonts w:hint="eastAsia" w:ascii="黑体" w:hAnsi="黑体" w:eastAsia="黑体" w:cs="黑体"/>
          <w:color w:val="auto"/>
          <w:kern w:val="2"/>
          <w:sz w:val="32"/>
          <w:szCs w:val="32"/>
          <w:u w:val="none"/>
          <w:lang w:val="en-US" w:eastAsia="zh-CN" w:bidi="ar-SA"/>
        </w:rPr>
        <w:t xml:space="preserve">  </w:t>
      </w:r>
      <w:r>
        <w:rPr>
          <w:rFonts w:hint="default" w:ascii="黑体" w:hAnsi="黑体" w:eastAsia="黑体" w:cs="黑体"/>
          <w:color w:val="auto"/>
          <w:kern w:val="2"/>
          <w:sz w:val="32"/>
          <w:szCs w:val="32"/>
          <w:u w:val="none"/>
          <w:lang w:val="en-US" w:eastAsia="zh-CN" w:bidi="ar-SA"/>
        </w:rPr>
        <w:t>则</w:t>
      </w:r>
    </w:p>
    <w:p w14:paraId="4C1843C3">
      <w:pPr>
        <w:pStyle w:val="2"/>
        <w:keepNext w:val="0"/>
        <w:keepLines w:val="0"/>
        <w:pageBreakBefore w:val="0"/>
        <w:widowControl w:val="0"/>
        <w:kinsoku/>
        <w:wordWrap/>
        <w:topLinePunct w:val="0"/>
        <w:autoSpaceDN/>
        <w:bidi w:val="0"/>
        <w:adjustRightInd/>
        <w:spacing w:line="240" w:lineRule="auto"/>
        <w:textAlignment w:val="auto"/>
        <w:rPr>
          <w:rFonts w:hint="default"/>
          <w:lang w:val="en-US" w:eastAsia="zh-CN"/>
        </w:rPr>
      </w:pPr>
      <w:bookmarkStart w:id="0" w:name="_GoBack"/>
      <w:bookmarkEnd w:id="0"/>
    </w:p>
    <w:p w14:paraId="4840FDA0">
      <w:pPr>
        <w:keepNext w:val="0"/>
        <w:keepLines w:val="0"/>
        <w:pageBreakBefore w:val="0"/>
        <w:widowControl w:val="0"/>
        <w:kinsoku/>
        <w:wordWrap/>
        <w:overflowPunct w:val="0"/>
        <w:topLinePunct w:val="0"/>
        <w:autoSpaceDE w:val="0"/>
        <w:autoSpaceDN/>
        <w:bidi w:val="0"/>
        <w:adjustRightInd/>
        <w:snapToGrid/>
        <w:spacing w:line="240" w:lineRule="auto"/>
        <w:ind w:left="0" w:leftChars="0" w:firstLine="640" w:firstLineChars="200"/>
        <w:jc w:val="both"/>
        <w:textAlignment w:val="auto"/>
        <w:rPr>
          <w:rFonts w:hint="default" w:ascii="仿宋_GB2312" w:hAnsi="仿宋_GB2312" w:eastAsia="仿宋_GB2312" w:cs="仿宋_GB2312"/>
          <w:color w:val="auto"/>
          <w:kern w:val="2"/>
          <w:sz w:val="32"/>
          <w:szCs w:val="32"/>
          <w:u w:val="none"/>
          <w:lang w:val="en-US" w:eastAsia="zh-CN" w:bidi="ar-SA"/>
        </w:rPr>
      </w:pPr>
      <w:r>
        <w:rPr>
          <w:rFonts w:hint="default" w:ascii="黑体" w:hAnsi="黑体" w:eastAsia="黑体" w:cs="黑体"/>
          <w:color w:val="auto"/>
          <w:kern w:val="2"/>
          <w:sz w:val="32"/>
          <w:szCs w:val="32"/>
          <w:u w:val="none"/>
          <w:lang w:val="en-US" w:eastAsia="zh-CN" w:bidi="ar-SA"/>
        </w:rPr>
        <w:t>第十七条</w:t>
      </w:r>
      <w:r>
        <w:rPr>
          <w:rFonts w:hint="default" w:ascii="Times New Roman" w:hAnsi="Times New Roman" w:eastAsia="方正仿宋_GBK" w:cs="Times New Roman"/>
          <w:color w:val="auto"/>
          <w:kern w:val="2"/>
          <w:sz w:val="32"/>
          <w:szCs w:val="32"/>
          <w:u w:val="none"/>
          <w:lang w:val="en-US" w:eastAsia="zh-CN" w:bidi="ar-SA"/>
        </w:rPr>
        <w:t xml:space="preserve"> </w:t>
      </w:r>
      <w:r>
        <w:rPr>
          <w:rFonts w:hint="default" w:ascii="Times New Roman" w:hAnsi="Times New Roman" w:eastAsia="方正仿宋_GBK" w:cs="Times New Roman"/>
          <w:color w:val="auto"/>
          <w:sz w:val="32"/>
          <w:szCs w:val="32"/>
          <w:u w:val="none"/>
          <w:lang w:val="en-US" w:eastAsia="zh-CN"/>
        </w:rPr>
        <w:t xml:space="preserve"> </w:t>
      </w:r>
      <w:r>
        <w:rPr>
          <w:rFonts w:hint="default" w:ascii="仿宋_GB2312" w:hAnsi="仿宋_GB2312" w:eastAsia="仿宋_GB2312" w:cs="仿宋_GB2312"/>
          <w:color w:val="auto"/>
          <w:kern w:val="2"/>
          <w:sz w:val="32"/>
          <w:szCs w:val="32"/>
          <w:u w:val="none"/>
          <w:lang w:val="en-US" w:eastAsia="zh-CN" w:bidi="ar-SA"/>
        </w:rPr>
        <w:t>本市行政区域内处理能力500吨/日及以上</w:t>
      </w:r>
      <w:r>
        <w:rPr>
          <w:rFonts w:hint="eastAsia" w:ascii="仿宋_GB2312" w:hAnsi="仿宋_GB2312" w:eastAsia="仿宋_GB2312" w:cs="仿宋_GB2312"/>
          <w:color w:val="auto"/>
          <w:kern w:val="2"/>
          <w:sz w:val="32"/>
          <w:szCs w:val="32"/>
          <w:u w:val="none"/>
          <w:lang w:val="en-US" w:eastAsia="zh-CN" w:bidi="ar-SA"/>
        </w:rPr>
        <w:t>、</w:t>
      </w:r>
      <w:r>
        <w:rPr>
          <w:rFonts w:hint="default" w:ascii="仿宋_GB2312" w:hAnsi="仿宋_GB2312" w:eastAsia="仿宋_GB2312" w:cs="仿宋_GB2312"/>
          <w:color w:val="auto"/>
          <w:kern w:val="2"/>
          <w:sz w:val="32"/>
          <w:szCs w:val="32"/>
          <w:u w:val="none"/>
          <w:lang w:val="en-US" w:eastAsia="zh-CN" w:bidi="ar-SA"/>
        </w:rPr>
        <w:t>政府投资建设的农村生活污水处理设施，可参照本办法执行。</w:t>
      </w:r>
    </w:p>
    <w:p w14:paraId="28818689">
      <w:pPr>
        <w:keepNext w:val="0"/>
        <w:keepLines w:val="0"/>
        <w:pageBreakBefore w:val="0"/>
        <w:widowControl w:val="0"/>
        <w:kinsoku/>
        <w:wordWrap/>
        <w:overflowPunct w:val="0"/>
        <w:topLinePunct w:val="0"/>
        <w:autoSpaceDE w:val="0"/>
        <w:autoSpaceDN/>
        <w:bidi w:val="0"/>
        <w:adjustRightInd/>
        <w:snapToGrid w:val="0"/>
        <w:spacing w:line="240" w:lineRule="auto"/>
        <w:ind w:firstLine="640" w:firstLineChars="200"/>
        <w:jc w:val="both"/>
        <w:textAlignment w:val="auto"/>
        <w:rPr>
          <w:rFonts w:hint="default" w:ascii="仿宋_GB2312" w:hAnsi="仿宋_GB2312" w:eastAsia="仿宋_GB2312" w:cs="仿宋_GB2312"/>
          <w:color w:val="auto"/>
          <w:kern w:val="2"/>
          <w:sz w:val="32"/>
          <w:szCs w:val="32"/>
          <w:u w:val="none"/>
          <w:lang w:val="en-US" w:eastAsia="zh-CN" w:bidi="ar-SA"/>
        </w:rPr>
      </w:pPr>
      <w:r>
        <w:rPr>
          <w:rFonts w:hint="default" w:ascii="黑体" w:hAnsi="黑体" w:eastAsia="黑体" w:cs="黑体"/>
          <w:color w:val="auto"/>
          <w:kern w:val="2"/>
          <w:sz w:val="32"/>
          <w:szCs w:val="32"/>
          <w:u w:val="none"/>
          <w:lang w:val="en-US" w:eastAsia="zh-CN" w:bidi="ar-SA"/>
        </w:rPr>
        <w:t>第十八条</w:t>
      </w:r>
      <w:r>
        <w:rPr>
          <w:rFonts w:hint="default" w:ascii="Times New Roman" w:hAnsi="Times New Roman" w:eastAsia="方正仿宋_GBK" w:cs="Times New Roman"/>
          <w:color w:val="auto"/>
          <w:kern w:val="2"/>
          <w:sz w:val="32"/>
          <w:szCs w:val="32"/>
          <w:u w:val="none"/>
          <w:lang w:val="en-US" w:eastAsia="zh-CN" w:bidi="ar-SA"/>
        </w:rPr>
        <w:t xml:space="preserve"> </w:t>
      </w:r>
      <w:r>
        <w:rPr>
          <w:rFonts w:hint="default" w:ascii="Times New Roman" w:hAnsi="Times New Roman" w:eastAsia="方正仿宋_GBK" w:cs="Times New Roman"/>
          <w:color w:val="auto"/>
          <w:sz w:val="32"/>
          <w:szCs w:val="32"/>
          <w:u w:val="none"/>
          <w:lang w:val="en-US" w:eastAsia="zh-CN"/>
        </w:rPr>
        <w:t xml:space="preserve"> </w:t>
      </w:r>
      <w:r>
        <w:rPr>
          <w:rFonts w:hint="default" w:ascii="仿宋_GB2312" w:hAnsi="仿宋_GB2312" w:eastAsia="仿宋_GB2312" w:cs="仿宋_GB2312"/>
          <w:color w:val="auto"/>
          <w:kern w:val="2"/>
          <w:sz w:val="32"/>
          <w:szCs w:val="32"/>
          <w:u w:val="none"/>
          <w:lang w:val="en-US" w:eastAsia="zh-CN" w:bidi="ar-SA"/>
        </w:rPr>
        <w:t>本办法自</w:t>
      </w:r>
      <w:r>
        <w:rPr>
          <w:rFonts w:hint="default" w:ascii="仿宋_GB2312" w:hAnsi="仿宋_GB2312" w:eastAsia="仿宋_GB2312" w:cs="仿宋_GB2312"/>
          <w:color w:val="auto"/>
          <w:kern w:val="2"/>
          <w:sz w:val="32"/>
          <w:szCs w:val="32"/>
          <w:u w:val="none"/>
          <w:lang w:val="en" w:eastAsia="zh-CN" w:bidi="ar-SA"/>
        </w:rPr>
        <w:t>2025</w:t>
      </w:r>
      <w:r>
        <w:rPr>
          <w:rFonts w:hint="default" w:ascii="仿宋_GB2312" w:hAnsi="仿宋_GB2312" w:eastAsia="仿宋_GB2312" w:cs="仿宋_GB2312"/>
          <w:color w:val="auto"/>
          <w:kern w:val="2"/>
          <w:sz w:val="32"/>
          <w:szCs w:val="32"/>
          <w:u w:val="none"/>
          <w:lang w:val="en-US" w:eastAsia="zh-CN" w:bidi="ar-SA"/>
        </w:rPr>
        <w:t>年</w:t>
      </w:r>
      <w:r>
        <w:rPr>
          <w:rFonts w:hint="eastAsia" w:ascii="仿宋_GB2312" w:hAnsi="仿宋_GB2312" w:eastAsia="仿宋_GB2312" w:cs="仿宋_GB2312"/>
          <w:color w:val="auto"/>
          <w:kern w:val="2"/>
          <w:sz w:val="32"/>
          <w:szCs w:val="32"/>
          <w:u w:val="none"/>
          <w:lang w:val="en-US" w:eastAsia="zh-CN" w:bidi="ar-SA"/>
        </w:rPr>
        <w:t>2</w:t>
      </w:r>
      <w:r>
        <w:rPr>
          <w:rFonts w:hint="default" w:ascii="仿宋_GB2312" w:hAnsi="仿宋_GB2312" w:eastAsia="仿宋_GB2312" w:cs="仿宋_GB2312"/>
          <w:color w:val="auto"/>
          <w:kern w:val="2"/>
          <w:sz w:val="32"/>
          <w:szCs w:val="32"/>
          <w:u w:val="none"/>
          <w:lang w:val="en-US" w:eastAsia="zh-CN" w:bidi="ar-SA"/>
        </w:rPr>
        <w:t>月</w:t>
      </w:r>
      <w:r>
        <w:rPr>
          <w:rFonts w:hint="default" w:ascii="仿宋_GB2312" w:hAnsi="仿宋_GB2312" w:eastAsia="仿宋_GB2312" w:cs="仿宋_GB2312"/>
          <w:color w:val="auto"/>
          <w:kern w:val="2"/>
          <w:sz w:val="32"/>
          <w:szCs w:val="32"/>
          <w:u w:val="none"/>
          <w:lang w:val="en" w:eastAsia="zh-CN" w:bidi="ar-SA"/>
        </w:rPr>
        <w:t>1</w:t>
      </w:r>
      <w:r>
        <w:rPr>
          <w:rFonts w:hint="default" w:ascii="仿宋_GB2312" w:hAnsi="仿宋_GB2312" w:eastAsia="仿宋_GB2312" w:cs="仿宋_GB2312"/>
          <w:color w:val="auto"/>
          <w:kern w:val="2"/>
          <w:sz w:val="32"/>
          <w:szCs w:val="32"/>
          <w:u w:val="none"/>
          <w:lang w:val="en-US" w:eastAsia="zh-CN" w:bidi="ar-SA"/>
        </w:rPr>
        <w:t>日起施行。</w:t>
      </w:r>
    </w:p>
    <w:p w14:paraId="2D650625">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640" w:firstLineChars="200"/>
        <w:jc w:val="both"/>
        <w:textAlignment w:val="auto"/>
        <w:outlineLvl w:val="9"/>
        <w:rPr>
          <w:rFonts w:hint="eastAsia" w:eastAsia="仿宋_GB2312" w:cs="Times New Roman"/>
          <w:color w:val="000000" w:themeColor="text1"/>
          <w:kern w:val="0"/>
          <w:sz w:val="32"/>
          <w:szCs w:val="32"/>
          <w:lang w:val="en-US" w:eastAsia="zh-CN"/>
          <w14:textFill>
            <w14:solidFill>
              <w14:schemeClr w14:val="tx1"/>
            </w14:solidFill>
          </w14:textFill>
        </w:rPr>
      </w:pPr>
    </w:p>
    <w:p w14:paraId="05186059">
      <w:pPr>
        <w:pStyle w:val="2"/>
      </w:pPr>
    </w:p>
    <w:p w14:paraId="32D735B7"/>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黑体_GBK">
    <w:panose1 w:val="03000509000000000000"/>
    <w:charset w:val="86"/>
    <w:family w:val="auto"/>
    <w:pitch w:val="default"/>
    <w:sig w:usb0="00000001"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仿宋_GBK">
    <w:panose1 w:val="03000509000000000000"/>
    <w:charset w:val="86"/>
    <w:family w:val="script"/>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77FE21">
    <w:pPr>
      <w:pStyle w:val="9"/>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E0EB61">
                          <w:pPr>
                            <w:pStyle w:val="8"/>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5EE0EB61">
                    <w:pPr>
                      <w:pStyle w:val="8"/>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14:paraId="4E201A0B">
    <w:pPr>
      <w:pStyle w:val="9"/>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44"/>
        <w:lang w:val="en-US" w:eastAsia="zh-CN"/>
      </w:rPr>
      <w:t xml:space="preserve">亳州市人民政府发布     </w:t>
    </w:r>
  </w:p>
  <w:p w14:paraId="118EAED9">
    <w:pPr>
      <w:pStyle w:val="9"/>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629C20">
    <w:pPr>
      <w:pStyle w:val="9"/>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14:paraId="5C4E8C00">
    <w:pPr>
      <w:pStyle w:val="9"/>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eastAsia="zh-CN"/>
      </w:rPr>
      <w:t>亳州市人民政府</w:t>
    </w:r>
    <w:r>
      <w:rPr>
        <w:rFonts w:hint="eastAsia" w:ascii="宋体" w:hAnsi="宋体" w:eastAsia="宋体" w:cs="宋体"/>
        <w:b/>
        <w:bCs/>
        <w:color w:val="005192"/>
        <w:sz w:val="32"/>
        <w:szCs w:val="32"/>
        <w:lang w:val="en-US" w:eastAsia="zh-CN"/>
      </w:rPr>
      <w:t>规章</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yNjc3YWM5NGYyODYxNDE1ODhkZTI5ZTViNmNkZDAifQ=="/>
  </w:docVars>
  <w:rsids>
    <w:rsidRoot w:val="00172A27"/>
    <w:rsid w:val="193726FE"/>
    <w:rsid w:val="2778435D"/>
    <w:rsid w:val="36E46AC5"/>
    <w:rsid w:val="3B6F67D2"/>
    <w:rsid w:val="47F343E9"/>
    <w:rsid w:val="74032EFE"/>
    <w:rsid w:val="7EE5186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First Indent 2"/>
    <w:basedOn w:val="1"/>
    <w:next w:val="3"/>
    <w:qFormat/>
    <w:uiPriority w:val="0"/>
    <w:pPr>
      <w:ind w:firstLine="420" w:firstLineChars="200"/>
    </w:pPr>
  </w:style>
  <w:style w:type="paragraph" w:styleId="3">
    <w:name w:val="Date"/>
    <w:basedOn w:val="1"/>
    <w:next w:val="1"/>
    <w:qFormat/>
    <w:uiPriority w:val="0"/>
    <w:pPr>
      <w:ind w:left="100" w:leftChars="2500"/>
    </w:pPr>
    <w:rPr>
      <w:rFonts w:ascii="仿宋_GB2312" w:eastAsia="仿宋_GB2312"/>
      <w:sz w:val="32"/>
    </w:rPr>
  </w:style>
  <w:style w:type="paragraph" w:styleId="4">
    <w:name w:val="Normal Indent"/>
    <w:basedOn w:val="1"/>
    <w:qFormat/>
    <w:uiPriority w:val="0"/>
    <w:pPr>
      <w:ind w:firstLine="420" w:firstLineChars="200"/>
    </w:pPr>
  </w:style>
  <w:style w:type="paragraph" w:styleId="5">
    <w:name w:val="Body Text"/>
    <w:basedOn w:val="1"/>
    <w:qFormat/>
    <w:uiPriority w:val="0"/>
    <w:pPr>
      <w:spacing w:before="102"/>
      <w:ind w:left="112"/>
    </w:pPr>
    <w:rPr>
      <w:sz w:val="28"/>
      <w:szCs w:val="28"/>
    </w:rPr>
  </w:style>
  <w:style w:type="paragraph" w:styleId="6">
    <w:name w:val="Body Text Indent"/>
    <w:basedOn w:val="1"/>
    <w:next w:val="4"/>
    <w:qFormat/>
    <w:uiPriority w:val="0"/>
    <w:pPr>
      <w:spacing w:line="500" w:lineRule="atLeast"/>
      <w:ind w:firstLine="640" w:firstLineChars="200"/>
    </w:pPr>
    <w:rPr>
      <w:rFonts w:eastAsia="仿宋_GB2312"/>
      <w:sz w:val="32"/>
      <w:szCs w:val="20"/>
    </w:rPr>
  </w:style>
  <w:style w:type="paragraph" w:styleId="7">
    <w:name w:val="Body Text Indent 2"/>
    <w:basedOn w:val="1"/>
    <w:next w:val="1"/>
    <w:qFormat/>
    <w:uiPriority w:val="0"/>
    <w:pPr>
      <w:widowControl w:val="0"/>
      <w:spacing w:line="590" w:lineRule="exact"/>
      <w:ind w:firstLine="880" w:firstLineChars="200"/>
      <w:jc w:val="both"/>
    </w:pPr>
    <w:rPr>
      <w:rFonts w:hint="eastAsia" w:ascii="Times New Roman" w:hAnsi="Times New Roman" w:eastAsia="方正仿宋_GBK" w:cs="Times New Roman"/>
      <w:kern w:val="2"/>
      <w:sz w:val="21"/>
      <w:szCs w:val="22"/>
      <w:lang w:val="en-US" w:eastAsia="zh-CN" w:bidi="ar-SA"/>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2">
    <w:name w:val="NormalIndent"/>
    <w:qFormat/>
    <w:uiPriority w:val="0"/>
    <w:pPr>
      <w:widowControl w:val="0"/>
      <w:ind w:firstLine="420" w:firstLineChars="200"/>
      <w:jc w:val="both"/>
      <w:textAlignment w:val="baseline"/>
    </w:pPr>
    <w:rPr>
      <w:rFonts w:ascii="Times New Roman" w:hAnsi="Times New Roman" w:eastAsia="仿宋" w:cs="Times New Roman"/>
      <w:kern w:val="2"/>
      <w:sz w:val="32"/>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6</Pages>
  <Words>3218</Words>
  <Characters>3230</Characters>
  <Lines>0</Lines>
  <Paragraphs>0</Paragraphs>
  <TotalTime>0</TotalTime>
  <ScaleCrop>false</ScaleCrop>
  <LinksUpToDate>false</LinksUpToDate>
  <CharactersWithSpaces>3282</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2024-12-13T08:58:00Z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C2172BA744AF415BB74856676BF71B5C</vt:lpwstr>
  </property>
</Properties>
</file>