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7C8E66">
      <w:pPr>
        <w:keepNext w:val="0"/>
        <w:keepLines w:val="0"/>
        <w:widowControl/>
        <w:suppressLineNumbers w:val="0"/>
        <w:overflowPunct w:val="0"/>
        <w:spacing w:before="0" w:beforeAutospacing="1" w:after="0" w:afterAutospacing="1" w:line="700" w:lineRule="exact"/>
        <w:ind w:left="0" w:right="0"/>
        <w:jc w:val="center"/>
      </w:pPr>
      <w:r>
        <w:rPr>
          <w:rFonts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国家税务总局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亳州市税务局</w:t>
      </w:r>
      <w:r>
        <w:rPr>
          <w:rFonts w:hint="default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 w:bidi="ar"/>
        </w:rPr>
        <w:t>2023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年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政府信息公开工作年度报告</w:t>
      </w:r>
    </w:p>
    <w:p w14:paraId="5F0B1FB2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left"/>
      </w:pPr>
      <w:r>
        <w:rPr>
          <w:rFonts w:hint="eastAsia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 w14:paraId="567CE4B0">
      <w:pPr>
        <w:keepNext w:val="0"/>
        <w:keepLines w:val="0"/>
        <w:widowControl/>
        <w:suppressLineNumbers w:val="0"/>
        <w:overflowPunct w:val="0"/>
        <w:spacing w:before="0" w:beforeAutospacing="1" w:after="0" w:afterAutospacing="1" w:line="600" w:lineRule="exact"/>
        <w:ind w:left="0" w:right="0" w:firstLine="640" w:firstLineChars="200"/>
        <w:jc w:val="left"/>
      </w:pPr>
      <w:r>
        <w:rPr>
          <w:rFonts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根据《中华人民共和国政府信息公开条例》（国务院令第711号）规定和《国务院办公厅政府信息与政务公开办公室关于印发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 w:bidi="ar"/>
        </w:rPr>
        <w:t>&lt;中华人民共和国政府信息公开工作年度报告格式&gt;的通知》（国办公开办函〔2021〕30号）要求，现发布《亳州市税务局2023年政府信息公开工作年度报告》。本年度报告电子版可从亳州市税务局（网址：https://www.bozhou.gov.cn/XxgkContent/showList/452/0/page_1.html）“政府信息公开”专栏下载。如对本报告有任何疑问，请与亳州市税务局联系（地址：亳州市汤王大道与紫苑路交叉口，电话：0558-555075，邮编：236800）。</w:t>
      </w:r>
    </w:p>
    <w:p w14:paraId="428DC45C">
      <w:pPr>
        <w:pStyle w:val="3"/>
        <w:keepNext w:val="0"/>
        <w:keepLines w:val="0"/>
        <w:widowControl/>
        <w:suppressLineNumbers w:val="0"/>
        <w:shd w:val="clear" w:fill="FFFFFF"/>
        <w:spacing w:before="100" w:beforeAutospacing="0" w:after="150" w:afterAutospacing="0" w:line="540" w:lineRule="atLeast"/>
        <w:ind w:left="0" w:right="0" w:firstLine="640"/>
        <w:jc w:val="both"/>
      </w:pPr>
      <w:r>
        <w:rPr>
          <w:rFonts w:ascii="方正黑体_GBK" w:hAnsi="方正黑体_GBK" w:eastAsia="方正黑体_GBK" w:cs="方正黑体_GBK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一、总体情况</w:t>
      </w:r>
    </w:p>
    <w:p w14:paraId="2C8FFA27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shd w:val="clear" w:fill="FFFFFF"/>
          <w:lang w:val="en-US" w:eastAsia="zh-CN" w:bidi="ar"/>
        </w:rPr>
        <w:t>2023年，亳州市税务局严格按照《条例》要求，坚持以公开为常态、不公开为例外，遵循公正、公平、合法、便民的原则，认真做好政府信息公开的工作。</w:t>
      </w:r>
    </w:p>
    <w:p w14:paraId="1A73CBE6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</w:pPr>
      <w:r>
        <w:rPr>
          <w:rFonts w:ascii="楷体" w:hAnsi="楷体" w:eastAsia="楷体" w:cs="楷体"/>
          <w:kern w:val="2"/>
          <w:sz w:val="32"/>
          <w:szCs w:val="32"/>
          <w:shd w:val="clear" w:fill="FFFFFF"/>
          <w:lang w:val="en-US" w:eastAsia="zh-CN" w:bidi="ar"/>
        </w:rPr>
        <w:t>（一）主动公开工作情况</w:t>
      </w:r>
    </w:p>
    <w:p w14:paraId="1EFFB867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560" w:lineRule="exact"/>
        <w:ind w:left="0" w:right="0" w:firstLine="640"/>
        <w:jc w:val="both"/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shd w:val="clear" w:fill="FFFFFF"/>
          <w:lang w:val="en-US" w:eastAsia="zh-CN" w:bidi="ar"/>
        </w:rPr>
        <w:t>制定《2023年亳州市税务局政务公开重点工作任务分解表》，明确政务公开重点领域和责任单位。制定全市税务系统政府信息主动公开目录。聚焦延续税费优惠政策、优化税收营商环境服务举措等重点领域，加大信息公开力度。依托“亳州税务”微信公众号、门户网站等平台，及时向社会公布并解读各类便民办税措施和优惠政策。</w:t>
      </w:r>
    </w:p>
    <w:p w14:paraId="18FC9721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</w:pPr>
      <w:r>
        <w:rPr>
          <w:rFonts w:hint="eastAsia" w:ascii="楷体" w:hAnsi="楷体" w:eastAsia="楷体" w:cs="楷体"/>
          <w:kern w:val="2"/>
          <w:sz w:val="32"/>
          <w:szCs w:val="32"/>
          <w:shd w:val="clear" w:fill="FFFFFF"/>
          <w:lang w:val="en-US" w:eastAsia="zh-CN" w:bidi="ar"/>
        </w:rPr>
        <w:t>（二）依申请公开信息情况</w:t>
      </w:r>
    </w:p>
    <w:p w14:paraId="3DD72801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</w:pPr>
      <w:r>
        <w:rPr>
          <w:rFonts w:hint="eastAsia" w:ascii="方正仿宋_GBK" w:hAnsi="方正仿宋_GBK" w:eastAsia="方正仿宋_GBK" w:cs="方正仿宋_GBK"/>
          <w:caps w:val="0"/>
          <w:spacing w:val="0"/>
          <w:kern w:val="0"/>
          <w:sz w:val="32"/>
          <w:szCs w:val="32"/>
          <w:shd w:val="clear" w:fill="FFFFFF"/>
          <w:lang w:val="en-US" w:eastAsia="zh-CN" w:bidi="ar"/>
        </w:rPr>
        <w:t>我局</w:t>
      </w: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shd w:val="clear" w:fill="FFFFFF"/>
          <w:lang w:val="en-US" w:eastAsia="zh-CN" w:bidi="ar"/>
        </w:rPr>
        <w:t>严格按照政府信息公开申请办理规范化有关要求，落实落细各项信息公开工作，不断提高回复效率、提升回复能力和专业水平。</w:t>
      </w:r>
      <w:r>
        <w:rPr>
          <w:rFonts w:hint="eastAsia" w:ascii="方正仿宋_GBK" w:hAnsi="方正仿宋_GBK" w:eastAsia="方正仿宋_GBK" w:cs="方正仿宋_GBK"/>
          <w:caps w:val="0"/>
          <w:spacing w:val="0"/>
          <w:kern w:val="0"/>
          <w:sz w:val="32"/>
          <w:szCs w:val="32"/>
          <w:shd w:val="clear" w:fill="FFFFFF"/>
          <w:lang w:val="en-US" w:eastAsia="zh-CN" w:bidi="ar"/>
        </w:rPr>
        <w:t>2023年全年共接收依申请公开事项2件，不予公开2件，</w:t>
      </w:r>
      <w:r>
        <w:rPr>
          <w:rFonts w:hint="eastAsia" w:ascii="方正仿宋_GBK" w:hAnsi="方正仿宋_GBK" w:eastAsia="方正仿宋_GBK" w:cs="方正仿宋_GBK"/>
          <w:caps w:val="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收到针对政府信息公开工作的行政复议1次和行政诉讼0次</w:t>
      </w:r>
      <w:r>
        <w:rPr>
          <w:rFonts w:hint="eastAsia" w:ascii="方正仿宋_GBK" w:hAnsi="方正仿宋_GBK" w:eastAsia="方正仿宋_GBK" w:cs="方正仿宋_GBK"/>
          <w:caps w:val="0"/>
          <w:spacing w:val="0"/>
          <w:kern w:val="0"/>
          <w:sz w:val="32"/>
          <w:szCs w:val="32"/>
          <w:shd w:val="clear" w:fill="FFFFFF"/>
          <w:lang w:val="en-US" w:eastAsia="zh-CN" w:bidi="ar"/>
        </w:rPr>
        <w:t>。</w:t>
      </w:r>
    </w:p>
    <w:p w14:paraId="56ADD15B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</w:pPr>
      <w:r>
        <w:rPr>
          <w:rFonts w:hint="eastAsia" w:ascii="楷体" w:hAnsi="楷体" w:eastAsia="楷体" w:cs="楷体"/>
          <w:kern w:val="2"/>
          <w:sz w:val="32"/>
          <w:szCs w:val="32"/>
          <w:shd w:val="clear" w:fill="FFFFFF"/>
          <w:lang w:val="en-US" w:eastAsia="zh-CN" w:bidi="ar"/>
        </w:rPr>
        <w:t>（三）政府信息管理情况</w:t>
      </w:r>
    </w:p>
    <w:p w14:paraId="28DBC731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560" w:lineRule="exact"/>
        <w:ind w:left="0" w:right="0" w:firstLine="640"/>
        <w:jc w:val="both"/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shd w:val="clear" w:fill="FFFFFF"/>
          <w:lang w:val="en-US" w:eastAsia="zh-CN" w:bidi="ar"/>
        </w:rPr>
        <w:t>坚持“先审查后公开”原则，严格落实政府信息公开保密审查制度，规范上网信息审批程序，压实保密审查、内容审核主体责任，防范政府信息公开风险，确保信息公开质量。2023年，未制发和废止规范性文件，现行有效规范性文件3件。</w:t>
      </w:r>
    </w:p>
    <w:p w14:paraId="0972EBEC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</w:pPr>
      <w:r>
        <w:rPr>
          <w:rFonts w:hint="eastAsia" w:ascii="楷体" w:hAnsi="楷体" w:eastAsia="楷体" w:cs="楷体"/>
          <w:kern w:val="2"/>
          <w:sz w:val="32"/>
          <w:szCs w:val="32"/>
          <w:shd w:val="clear" w:fill="FFFFFF"/>
          <w:lang w:val="en-US" w:eastAsia="zh-CN" w:bidi="ar"/>
        </w:rPr>
        <w:t>（四）政府信息公开平台建设情况</w:t>
      </w:r>
    </w:p>
    <w:p w14:paraId="658F499C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560" w:lineRule="exact"/>
        <w:ind w:left="0" w:right="0" w:firstLine="640"/>
        <w:jc w:val="both"/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shd w:val="clear" w:fill="FFFFFF"/>
          <w:lang w:val="en-US" w:eastAsia="zh-CN" w:bidi="ar"/>
        </w:rPr>
        <w:t>一是按照政府信息公开平台建设要求，完善政府信息公开专栏设置。二是依托亳州市税务局门户网站中的“政府信息公开”专栏，主动公开权力和责任清单、政策法规库、税收管理和减税降费等重点领域信息等。三是通过办税服务厅电子屏、公示板，公开税务行政许可事项、各类涉税事项办理程序以及需要提供的材料目录等。四是持续推进“亳州税务”微信公众号和微博建设，</w:t>
      </w:r>
      <w:r>
        <w:rPr>
          <w:rFonts w:hint="eastAsia" w:ascii="方正仿宋_GBK" w:hAnsi="方正仿宋_GBK" w:eastAsia="方正仿宋_GBK" w:cs="方正仿宋_GBK"/>
          <w:caps w:val="0"/>
          <w:spacing w:val="0"/>
          <w:kern w:val="0"/>
          <w:sz w:val="32"/>
          <w:szCs w:val="32"/>
          <w:shd w:val="clear" w:fill="FFFFFF"/>
          <w:lang w:val="en-US" w:eastAsia="zh-CN" w:bidi="ar"/>
        </w:rPr>
        <w:t>重视网络平台建设，定期更新网站内容、加强官方微信、微博平台建设，不断丰富形式，着力打造出具有特色的多元化政府信息获取渠道。</w:t>
      </w:r>
    </w:p>
    <w:p w14:paraId="081E14F9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</w:pPr>
      <w:r>
        <w:rPr>
          <w:rFonts w:hint="eastAsia" w:ascii="楷体" w:hAnsi="楷体" w:eastAsia="楷体" w:cs="楷体"/>
          <w:kern w:val="2"/>
          <w:sz w:val="32"/>
          <w:szCs w:val="32"/>
          <w:shd w:val="clear" w:fill="FFFFFF"/>
          <w:lang w:val="en-US" w:eastAsia="zh-CN" w:bidi="ar"/>
        </w:rPr>
        <w:t>（五）监督保障情况</w:t>
      </w:r>
    </w:p>
    <w:p w14:paraId="6231D726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600" w:lineRule="exact"/>
        <w:ind w:left="0" w:leftChars="0" w:right="0" w:firstLine="640" w:firstLineChars="200"/>
        <w:jc w:val="both"/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shd w:val="clear" w:fill="FFFFFF"/>
        </w:rPr>
        <w:t>及时调整充实信息公开领导小组成员，明确细化信息公开各组成单位职责；不定期召开政府信息公开工作推进会，通报信息公开情况，指出问题，分析原因，研究解决措施；组织信息公开工作具办人员参加各类业务培训班，不断提升政务公开能力和水平；将政府信息公开和政务公开落实情况纳入年度绩效考核指标。2023年，我局未发生政府信息公开工作责任追究情况。</w:t>
      </w:r>
    </w:p>
    <w:p w14:paraId="43AFDDF3">
      <w:pPr>
        <w:pStyle w:val="3"/>
        <w:keepNext w:val="0"/>
        <w:keepLines w:val="0"/>
        <w:widowControl/>
        <w:suppressLineNumbers w:val="0"/>
        <w:shd w:val="clear" w:fill="FFFFFF"/>
        <w:spacing w:before="100" w:beforeAutospacing="0" w:after="150" w:afterAutospacing="0" w:line="540" w:lineRule="atLeast"/>
        <w:ind w:left="0" w:right="0" w:firstLine="640"/>
        <w:jc w:val="both"/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二、主动公开政府信息情况</w:t>
      </w:r>
    </w:p>
    <w:tbl>
      <w:tblPr>
        <w:tblW w:w="814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20"/>
        <w:gridCol w:w="1620"/>
        <w:gridCol w:w="1530"/>
        <w:gridCol w:w="1875"/>
      </w:tblGrid>
      <w:tr w14:paraId="5172A4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814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83F8D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第二十条第（一）项</w:t>
            </w:r>
          </w:p>
        </w:tc>
      </w:tr>
      <w:tr w14:paraId="07312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23F4A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16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9850B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本年制发件数</w:t>
            </w:r>
          </w:p>
        </w:tc>
        <w:tc>
          <w:tcPr>
            <w:tcW w:w="15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59F6E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本年废止件数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1DE2B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现行有效件数</w:t>
            </w:r>
          </w:p>
        </w:tc>
      </w:tr>
      <w:tr w14:paraId="3C062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01245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规章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C13BB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14EC8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DCB80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519E33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0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0BABE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规范性文件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9F96D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0338C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A599B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</w:t>
            </w:r>
          </w:p>
        </w:tc>
      </w:tr>
      <w:tr w14:paraId="38C81E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8145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59BB3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第二十条第（五）项</w:t>
            </w:r>
          </w:p>
        </w:tc>
      </w:tr>
      <w:tr w14:paraId="6B0B1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E9965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502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46AD5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本年处理决定数量</w:t>
            </w:r>
          </w:p>
        </w:tc>
      </w:tr>
      <w:tr w14:paraId="145227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7F4E2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行政许可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36132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2069</w:t>
            </w:r>
          </w:p>
        </w:tc>
      </w:tr>
      <w:tr w14:paraId="069BE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8145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47D8D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第二十条第（六）项</w:t>
            </w:r>
          </w:p>
        </w:tc>
      </w:tr>
      <w:tr w14:paraId="2883C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D9432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502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EAB07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本年处理决定数量</w:t>
            </w:r>
          </w:p>
        </w:tc>
      </w:tr>
      <w:tr w14:paraId="22C99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12584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行政处罚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7F83C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48</w:t>
            </w:r>
          </w:p>
        </w:tc>
      </w:tr>
      <w:tr w14:paraId="6961D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B5B58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行政强制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0BF36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6C246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8145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6E9C7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第二十条第（八）项</w:t>
            </w:r>
          </w:p>
        </w:tc>
      </w:tr>
      <w:tr w14:paraId="09967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0BA9B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信息内容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73CFC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本年收费金额（单位：万元）</w:t>
            </w:r>
          </w:p>
        </w:tc>
      </w:tr>
      <w:tr w14:paraId="244CCC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312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BF4D8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行政事业性收费</w:t>
            </w:r>
          </w:p>
        </w:tc>
        <w:tc>
          <w:tcPr>
            <w:tcW w:w="502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CE588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</w:t>
            </w:r>
          </w:p>
        </w:tc>
      </w:tr>
    </w:tbl>
    <w:p w14:paraId="331A9D1D">
      <w:pPr>
        <w:pStyle w:val="3"/>
        <w:keepNext w:val="0"/>
        <w:keepLines w:val="0"/>
        <w:widowControl/>
        <w:suppressLineNumbers w:val="0"/>
        <w:shd w:val="clear" w:fill="FFFFFF"/>
        <w:spacing w:before="100" w:beforeAutospacing="0" w:after="150" w:afterAutospacing="0" w:line="540" w:lineRule="atLeast"/>
        <w:ind w:left="0" w:right="0" w:firstLine="640"/>
        <w:jc w:val="both"/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三、收到和处理政府信息公开申请情况</w:t>
      </w:r>
    </w:p>
    <w:tbl>
      <w:tblPr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21606BA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52DC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DDC2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申请人情况</w:t>
            </w:r>
          </w:p>
        </w:tc>
      </w:tr>
      <w:tr w14:paraId="3AAAF7E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505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7388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090C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F52F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总计</w:t>
            </w:r>
          </w:p>
        </w:tc>
      </w:tr>
      <w:tr w14:paraId="10D7DF3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8" w:hRule="atLeast"/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77B2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B96D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B00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商业</w:t>
            </w:r>
          </w:p>
          <w:p w14:paraId="2949D16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04EC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科研</w:t>
            </w:r>
          </w:p>
          <w:p w14:paraId="0D53A76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F09B5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76418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A02C3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32AF73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2C2E624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10A3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D820D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DF13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5965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43B2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01A1D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61DB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1849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539B3AA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283E5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F2321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0B61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FD4A5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5245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33DA0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03AE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F4C71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7C06810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57458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0CA3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52F5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8890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F5D6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7EC4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5CC98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1B42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1B95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3F201BC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8153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F428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8C8B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86F96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9C36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F20D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3EA3F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1F55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1BAC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2CCFB6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F646A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3326F6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89A3E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AAA1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0BD8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54DF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F382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2D8B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CFDF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F154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261C52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C652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539C7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FEB4D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3F07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BDFAB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05CD3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25CA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C155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32C4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8683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1E2EBB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8FD8D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B5961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9E200E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AC0C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A9722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A9C42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DDC4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9F2D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7F1E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2AD15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08C134A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5A9B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1CA8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B297EA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E8A8D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33C5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A53A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0263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44F2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B853E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DFDC7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651AFC8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BEC5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ACB9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9038B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DC44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836F7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1AD0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7351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84C9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5AF1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8095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7241CD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54468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5065F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6BEF9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381A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780A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B7205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0A13B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FD6AD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43DF6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3640C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15A2EBB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5396A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1D26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5B065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45E0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2689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25FCC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3507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2AF67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DBDA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2FFA3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5FDCAD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D3DD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F9AD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BDB7F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9312E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9B49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7FAA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28021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D2880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64B0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CBE4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11F247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D400B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6903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CA834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B81F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C9ED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3E53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9118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75DEA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3D4E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2517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33ED22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0A0F0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280B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AFAD28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DD90A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9E1B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5203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6941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59A58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9D3BF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2DD20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48CCD38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09AD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A240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38834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2FF6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53C1C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9935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AFA14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5FAD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EDB3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C791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6B748E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78776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6F0B4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C40DF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0406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8D386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834F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F0916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8770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22F53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7BA2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2E3043C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1013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269C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CC007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0D28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ADB7B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07B37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6DB3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E6D8F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40E0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AF9D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5C9FBA0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1D99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2DFF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FFAE9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0398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B3710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9054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284E1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58BD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17ADB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5C73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4AC601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D0B3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A466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D528D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D128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4A706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35DB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F76E5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255C1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BED8A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DB3F1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13163F1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F8B3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ECAA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9AE45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E6C7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7C9F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C9EE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944CD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A708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06A8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C499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501932E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7DC28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B27B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B6FFF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1923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26FDF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93FD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432E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E49AD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123C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0CF0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61C2396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7FD18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998F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63E0B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9947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8D6D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6B0B5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5393D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BAF1A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ABF38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 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CCE3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0 </w:t>
            </w:r>
          </w:p>
        </w:tc>
      </w:tr>
      <w:tr w14:paraId="459FBE7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8B315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CCD78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5BA0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19A4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7C89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EA35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F6D5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F3ADC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3D70F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1EFF0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  <w:tr w14:paraId="33241C5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1874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623AC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40AFC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5EAE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F639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FEDB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EA7C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4404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E9660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2</w:t>
            </w:r>
          </w:p>
        </w:tc>
      </w:tr>
      <w:tr w14:paraId="4FA867D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6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7364C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127B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F5F8E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490C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80B6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8FD0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8612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4F04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</w:tbl>
    <w:p w14:paraId="641B236C">
      <w:pPr>
        <w:pStyle w:val="3"/>
        <w:keepNext w:val="0"/>
        <w:keepLines w:val="0"/>
        <w:widowControl/>
        <w:suppressLineNumbers w:val="0"/>
        <w:shd w:val="clear" w:fill="FFFFFF"/>
        <w:autoSpaceDE w:val="0"/>
        <w:autoSpaceDN/>
        <w:spacing w:before="313" w:beforeLines="100" w:beforeAutospacing="0" w:after="313" w:afterLines="100" w:afterAutospacing="0" w:line="400" w:lineRule="exact"/>
        <w:ind w:left="0" w:right="0" w:firstLine="420"/>
        <w:jc w:val="both"/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四、政府信息公开行政复议、行政诉讼情况</w:t>
      </w:r>
    </w:p>
    <w:tbl>
      <w:tblPr>
        <w:tblW w:w="90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0"/>
        <w:gridCol w:w="600"/>
        <w:gridCol w:w="600"/>
        <w:gridCol w:w="600"/>
        <w:gridCol w:w="675"/>
        <w:gridCol w:w="555"/>
        <w:gridCol w:w="600"/>
        <w:gridCol w:w="600"/>
        <w:gridCol w:w="600"/>
        <w:gridCol w:w="615"/>
        <w:gridCol w:w="600"/>
        <w:gridCol w:w="600"/>
        <w:gridCol w:w="600"/>
        <w:gridCol w:w="600"/>
        <w:gridCol w:w="630"/>
      </w:tblGrid>
      <w:tr w14:paraId="63C58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07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68F0D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行政复议</w:t>
            </w:r>
          </w:p>
        </w:tc>
        <w:tc>
          <w:tcPr>
            <w:tcW w:w="6000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4BEF41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both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行政诉讼</w:t>
            </w:r>
          </w:p>
        </w:tc>
      </w:tr>
      <w:tr w14:paraId="61F4F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0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994EB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结果维持</w:t>
            </w: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D1075D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结果纠正</w:t>
            </w:r>
          </w:p>
        </w:tc>
        <w:tc>
          <w:tcPr>
            <w:tcW w:w="60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684E1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其他结果</w:t>
            </w:r>
          </w:p>
        </w:tc>
        <w:tc>
          <w:tcPr>
            <w:tcW w:w="60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83A69F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尚未审结</w:t>
            </w:r>
          </w:p>
        </w:tc>
        <w:tc>
          <w:tcPr>
            <w:tcW w:w="675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72661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41B629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未经复议直接起诉</w:t>
            </w:r>
          </w:p>
        </w:tc>
        <w:tc>
          <w:tcPr>
            <w:tcW w:w="303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11024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 w:firstLine="405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复议后起诉</w:t>
            </w:r>
          </w:p>
        </w:tc>
      </w:tr>
      <w:tr w14:paraId="258A5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0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9229B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1D1A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33996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0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5AF37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5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14E80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083FAB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结果维持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35A77E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结果纠正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A1CB58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其他结果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A99617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尚未审结</w:t>
            </w:r>
          </w:p>
        </w:tc>
        <w:tc>
          <w:tcPr>
            <w:tcW w:w="61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5CED04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总计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7BA62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结果维持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8364E3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结果纠正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1FF8E0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其他结果</w:t>
            </w:r>
          </w:p>
        </w:tc>
        <w:tc>
          <w:tcPr>
            <w:tcW w:w="6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FF3CA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尚未审结</w:t>
            </w:r>
          </w:p>
        </w:tc>
        <w:tc>
          <w:tcPr>
            <w:tcW w:w="63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B7F832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180" w:afterAutospacing="0" w:line="45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总计</w:t>
            </w:r>
          </w:p>
        </w:tc>
      </w:tr>
      <w:tr w14:paraId="48964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5" w:hRule="atLeast"/>
          <w:jc w:val="center"/>
        </w:trPr>
        <w:tc>
          <w:tcPr>
            <w:tcW w:w="6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3E556D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276F1D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2A310C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616D5D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2BAABF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5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FD8CFF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08A325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264D55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0FD325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13F02E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166361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954EFD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9020EF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43336B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6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74D027"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3" w:lineRule="atLeast"/>
              <w:ind w:left="0" w:right="0"/>
              <w:jc w:val="center"/>
            </w:pPr>
            <w:r>
              <w:rPr>
                <w:rFonts w:hint="default" w:ascii="Calibri" w:hAnsi="Calibri" w:eastAsia="宋体" w:cs="Calibri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</w:t>
            </w:r>
          </w:p>
        </w:tc>
      </w:tr>
    </w:tbl>
    <w:p w14:paraId="4BDAE2D5">
      <w:pPr>
        <w:pStyle w:val="3"/>
        <w:keepNext w:val="0"/>
        <w:keepLines w:val="0"/>
        <w:widowControl/>
        <w:suppressLineNumbers w:val="0"/>
        <w:shd w:val="clear" w:fill="FFFFFF"/>
        <w:autoSpaceDE w:val="0"/>
        <w:autoSpaceDN/>
        <w:spacing w:before="313" w:beforeLines="100" w:beforeAutospacing="0" w:after="313" w:afterLines="100" w:afterAutospacing="0" w:line="540" w:lineRule="atLeast"/>
        <w:ind w:left="0" w:right="0" w:firstLine="420"/>
        <w:jc w:val="both"/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五、存在的主要问题及改进措施</w:t>
      </w:r>
    </w:p>
    <w:p w14:paraId="074247F5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560" w:lineRule="exact"/>
        <w:ind w:left="0" w:right="0" w:firstLine="641"/>
        <w:jc w:val="both"/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shd w:val="clear" w:fill="FFFFFF"/>
          <w:lang w:val="en-US" w:eastAsia="zh-CN" w:bidi="ar"/>
        </w:rPr>
        <w:t>2023年，亳州市税务局政府信息公开工作稳步推进，取得了一定的成绩，但仍存在不足之处，主要表现在：信息公开的平台和形式还不丰富，不能满足社会公众越来越多的信息需求。</w:t>
      </w:r>
    </w:p>
    <w:p w14:paraId="311A336A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1" w:after="0" w:afterAutospacing="1" w:line="560" w:lineRule="exact"/>
        <w:ind w:left="0" w:right="0" w:firstLine="641"/>
        <w:jc w:val="both"/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shd w:val="clear" w:fill="FFFFFF"/>
          <w:lang w:val="en-US" w:eastAsia="zh-CN" w:bidi="ar"/>
        </w:rPr>
        <w:t>针对上述短板，采取以下改进措施：进一步改进政府信息公开平台和门户网站栏目设置，增加信息公开内容；聚焦信息公开的针对性、实效性，进一步加大“亳州税务”微信公众号和微博推文的采编数量，努力满足社会公众税费信息需求。同时，进一步强化信息发布审核，坚决避免信息错漏。</w:t>
      </w:r>
    </w:p>
    <w:p w14:paraId="3105047B">
      <w:pPr>
        <w:pStyle w:val="3"/>
        <w:keepNext w:val="0"/>
        <w:keepLines w:val="0"/>
        <w:widowControl/>
        <w:suppressLineNumbers w:val="0"/>
        <w:shd w:val="clear" w:fill="FFFFFF"/>
        <w:spacing w:before="100" w:beforeAutospacing="0" w:after="150" w:afterAutospacing="0" w:line="540" w:lineRule="atLeast"/>
        <w:ind w:left="0" w:right="0" w:firstLine="420"/>
        <w:jc w:val="left"/>
      </w:pPr>
      <w:r>
        <w:rPr>
          <w:rFonts w:hint="eastAsia" w:ascii="方正黑体_GBK" w:hAnsi="方正黑体_GBK" w:eastAsia="方正黑体_GBK" w:cs="方正黑体_GBK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六、其他需要报告的事项</w:t>
      </w:r>
    </w:p>
    <w:p w14:paraId="76D27C92">
      <w:pPr>
        <w:keepNext w:val="0"/>
        <w:keepLines w:val="0"/>
        <w:widowControl/>
        <w:suppressLineNumbers w:val="0"/>
        <w:overflowPunct w:val="0"/>
        <w:spacing w:before="0" w:beforeAutospacing="1" w:after="0" w:afterAutospacing="1" w:line="600" w:lineRule="exact"/>
        <w:ind w:left="0" w:right="0" w:firstLine="640" w:firstLineChars="200"/>
        <w:jc w:val="left"/>
      </w:pPr>
      <w:r>
        <w:rPr>
          <w:rFonts w:hint="eastAsia" w:ascii="方正仿宋_GBK" w:hAnsi="方正仿宋_GBK" w:eastAsia="方正仿宋_GBK" w:cs="方正仿宋_GBK"/>
          <w:kern w:val="0"/>
          <w:sz w:val="32"/>
          <w:szCs w:val="32"/>
          <w:lang w:val="en-US" w:eastAsia="zh-CN" w:bidi="ar"/>
        </w:rPr>
        <w:t>2023年我局在“两化”工作中积极贯彻落实2023年政务公开重点工作任务分工要求，制定我局政务公开重点领域任务分解表，认真梳理政务公开目录要求，积极配合县政务公开办完成本年度重点领域目录搭建，实现新旧目录完全替换工作；按照信息发布标准化要求，及时做好税收管理模块的信息规范公开工作，加强重点领域方面的信息发布，重点发布一些民生关切问题，如社保费缴纳流程、个人所得税专项附加扣除申报及汇算清缴等内容。</w:t>
      </w:r>
    </w:p>
    <w:p w14:paraId="14D2A205"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</w:pPr>
      <w:r>
        <w:rPr>
          <w:rFonts w:hint="eastAsia" w:ascii="方正仿宋_GBK" w:hAnsi="方正仿宋_GBK" w:eastAsia="方正仿宋_GBK" w:cs="方正仿宋_GBK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按照《国务院办公厅关于印发〈政府信息公开信息处理费管理办法〉的通知》（国办函〔2020〕109 号）规定的按件、按量收费标准，本年度没有产生信息公开处理费。</w:t>
      </w:r>
    </w:p>
    <w:p w14:paraId="50E02FBC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left"/>
      </w:pPr>
      <w:r>
        <w:rPr>
          <w:rFonts w:hint="default" w:ascii="Calibri" w:hAnsi="Calibri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 w14:paraId="0E904D5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hNzcxMWNmNzIyY2YwZTYwMTYyMWRlOWExOGYwMWIifQ=="/>
  </w:docVars>
  <w:rsids>
    <w:rsidRoot w:val="2659250A"/>
    <w:rsid w:val="19A03C8F"/>
    <w:rsid w:val="23613EA7"/>
    <w:rsid w:val="2659250A"/>
    <w:rsid w:val="29DC5D94"/>
    <w:rsid w:val="30FE213C"/>
    <w:rsid w:val="59AE0658"/>
    <w:rsid w:val="783E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spacing w:after="120"/>
      <w:ind w:left="420" w:leftChars="2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 2"/>
    <w:basedOn w:val="2"/>
    <w:autoRedefine/>
    <w:unhideWhenUsed/>
    <w:qFormat/>
    <w:uiPriority w:val="99"/>
    <w:pPr>
      <w:ind w:firstLine="420" w:firstLineChars="200"/>
    </w:pPr>
  </w:style>
  <w:style w:type="character" w:styleId="7">
    <w:name w:val="Strong"/>
    <w:basedOn w:val="6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1329</Words>
  <Characters>1450</Characters>
  <Lines>0</Lines>
  <Paragraphs>0</Paragraphs>
  <TotalTime>0</TotalTime>
  <ScaleCrop>false</ScaleCrop>
  <LinksUpToDate>false</LinksUpToDate>
  <CharactersWithSpaces>1450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2024-01-12T06:51:00Z</dcterms:created>
  <dc:creator>JUN®ed</dc:creator>
  <cp:lastModifiedBy>Administrator</cp:lastModifiedBy>
  <dcterms:modified xsi:type="dcterms:W3CDTF">2025-01-23T02:20:17Z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9A23DF24460A410CBFD61D35250A939E_11</vt:lpwstr>
  </property>
  <property fmtid="{D5CDD505-2E9C-101B-9397-08002B2CF9AE}" pid="4" name="KSOTemplateDocerSaveRecord">
    <vt:lpwstr>eyJoZGlkIjoiMjVhNzcxMWNmNzIyY2YwZTYwMTYyMWRlOWExOGYwMWIiLCJ1c2VySWQiOiIzNzc4MzEwNDIifQ==</vt:lpwstr>
  </property>
</Properties>
</file>