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spacing w:line="600" w:lineRule="exact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</w:p>
    <w:p>
      <w:pPr>
        <w:overflowPunct w:val="0"/>
        <w:spacing w:line="700" w:lineRule="exact"/>
        <w:jc w:val="center"/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  <w:t>亳州</w:t>
      </w:r>
      <w:r>
        <w:rPr>
          <w:rFonts w:hint="eastAsia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/>
        </w:rPr>
        <w:t>市</w:t>
      </w:r>
      <w:r>
        <w:rPr>
          <w:rFonts w:hint="eastAsia" w:eastAsia="方正小标宋简体" w:cs="Times New Roman"/>
          <w:color w:val="000000"/>
          <w:kern w:val="0"/>
          <w:sz w:val="44"/>
          <w:szCs w:val="44"/>
          <w:lang w:val="en-US" w:eastAsia="zh-CN"/>
        </w:rPr>
        <w:t>供销社</w:t>
      </w:r>
      <w:r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  <w:t>202</w:t>
      </w:r>
      <w:r>
        <w:rPr>
          <w:rFonts w:hint="default" w:eastAsia="方正小标宋简体" w:cs="Times New Roman"/>
          <w:color w:val="000000"/>
          <w:kern w:val="0"/>
          <w:sz w:val="44"/>
          <w:szCs w:val="44"/>
          <w:lang w:val="en" w:eastAsia="zh-CN"/>
        </w:rPr>
        <w:t>4</w:t>
      </w:r>
      <w:r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  <w:t>年</w:t>
      </w:r>
    </w:p>
    <w:p>
      <w:pPr>
        <w:overflowPunct w:val="0"/>
        <w:spacing w:line="700" w:lineRule="exact"/>
        <w:jc w:val="center"/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  <w:t>政府信息公开工作年度报告</w:t>
      </w:r>
    </w:p>
    <w:p>
      <w:pPr>
        <w:overflowPunct w:val="0"/>
        <w:spacing w:line="60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根据《中华人民共和国政府信息公开条例》（国务院令第711号）规定和《国务院办公厅政府信息与政务公开办公室关于印发&lt;中华人民共和国政府信息公开工作年度报告格式&gt;的通知》（国办公开办函〔2021〕30号）要求，现发布《亳州市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eastAsia="zh-CN"/>
        </w:rPr>
        <w:t>供销社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202</w:t>
      </w:r>
      <w:r>
        <w:rPr>
          <w:rFonts w:hint="default" w:eastAsia="方正仿宋_GBK" w:cs="Times New Roman"/>
          <w:color w:val="000000"/>
          <w:kern w:val="0"/>
          <w:sz w:val="32"/>
          <w:szCs w:val="32"/>
          <w:lang w:val="en" w:eastAsia="zh-CN"/>
        </w:rPr>
        <w:t>4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年政府信息公开工作年度报告》。本年度报告电子版可从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亳州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市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eastAsia="zh-CN"/>
        </w:rPr>
        <w:t>供销社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“政府信息公开”专栏下载。如对本报告有任何疑问，请与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亳州市供销社办公室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联系（地址：</w:t>
      </w:r>
      <w:r>
        <w:rPr>
          <w:rFonts w:hint="eastAsia" w:ascii="Times New Roman" w:hAnsi="Times New Roman" w:eastAsia="方正仿宋_GBK" w:cs="Times New Roman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安徽省亳州</w:t>
      </w:r>
      <w:r>
        <w:rPr>
          <w:rFonts w:hint="eastAsia" w:ascii="Times New Roman" w:hAnsi="Times New Roman" w:eastAsia="方正仿宋_GBK" w:cs="Times New Roman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市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市府南路18号，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电话：055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-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5126026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，邮编：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236800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）。</w:t>
      </w:r>
    </w:p>
    <w:p>
      <w:pPr>
        <w:overflowPunct w:val="0"/>
        <w:spacing w:line="600" w:lineRule="exact"/>
        <w:ind w:firstLine="640" w:firstLineChars="200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  <w:t>一、总体情况</w:t>
      </w:r>
    </w:p>
    <w:p>
      <w:pPr>
        <w:overflowPunct w:val="0"/>
        <w:spacing w:line="600" w:lineRule="exact"/>
        <w:ind w:firstLine="640" w:firstLineChars="200"/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</w:rPr>
        <w:t>（一）主动公开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" w:eastAsia="zh-CN"/>
        </w:rPr>
      </w:pP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202</w:t>
      </w:r>
      <w:r>
        <w:rPr>
          <w:rFonts w:hint="default" w:eastAsia="方正仿宋_GBK" w:cs="Times New Roman"/>
          <w:color w:val="000000"/>
          <w:kern w:val="0"/>
          <w:sz w:val="32"/>
          <w:szCs w:val="32"/>
          <w:lang w:val="en" w:eastAsia="zh-CN"/>
        </w:rPr>
        <w:t>4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年度市供销社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政府信息公开平台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各个栏目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主动发布信息</w:t>
      </w:r>
      <w:r>
        <w:rPr>
          <w:rFonts w:hint="default" w:eastAsia="方正仿宋_GBK" w:cs="Times New Roman"/>
          <w:color w:val="000000"/>
          <w:kern w:val="0"/>
          <w:sz w:val="32"/>
          <w:szCs w:val="32"/>
          <w:lang w:val="en" w:eastAsia="zh-CN"/>
        </w:rPr>
        <w:t>45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条，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涵盖规划计划、建议提案办理、机构设置、财政资金等多个领域，信息发布全面、真实、准确。</w:t>
      </w:r>
    </w:p>
    <w:p>
      <w:pPr>
        <w:overflowPunct w:val="0"/>
        <w:spacing w:line="600" w:lineRule="exact"/>
        <w:ind w:firstLine="640" w:firstLineChars="200"/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  <w:lang w:eastAsia="zh-CN"/>
        </w:rPr>
        <w:t>（二）</w:t>
      </w:r>
      <w:r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</w:rPr>
        <w:t>依申请公开</w:t>
      </w:r>
    </w:p>
    <w:p>
      <w:pPr>
        <w:overflowPunct w:val="0"/>
        <w:spacing w:line="600" w:lineRule="exact"/>
        <w:ind w:firstLine="640" w:firstLineChars="200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2024年度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，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市供销社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没有收到任何依申请公开政府信息的申请，也没有收到任何因政府信息公开申请产生的行政复议，没有发生因政府信息公开申请提出的行政诉讼。</w:t>
      </w:r>
    </w:p>
    <w:p>
      <w:pPr>
        <w:overflowPunct w:val="0"/>
        <w:spacing w:line="600" w:lineRule="exact"/>
        <w:ind w:firstLine="640" w:firstLineChars="200"/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  <w:lang w:eastAsia="zh-CN"/>
        </w:rPr>
        <w:t>（三）</w:t>
      </w:r>
      <w:r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</w:rPr>
        <w:t>政府信息管理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一是在市政府统一部署下，进一步梳理了市供销社系统法定主动公开内容目录，明确公开事项，细化目录规范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。二是由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专人负责政务公开工作的日常运维及管理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。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严格执行政务公开审核制度，夯实领导责任，按照“分级审核、先审后发”的程序，落实初审、复审、终审三级审查制度，确保信息规范性、准确性。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三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是提高政务公开质量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。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积极参加市政务公开专项培训，扎实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掌握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政务公开基本知识及网络操作流程。</w:t>
      </w:r>
    </w:p>
    <w:p>
      <w:pPr>
        <w:overflowPunct w:val="0"/>
        <w:spacing w:line="600" w:lineRule="exact"/>
        <w:ind w:firstLine="640" w:firstLineChars="200"/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  <w:lang w:eastAsia="zh-CN"/>
        </w:rPr>
        <w:t>（四）</w:t>
      </w:r>
      <w:r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</w:rPr>
        <w:t>政府信息公开平台建设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落实政务公开主体责任，及时做好信息更新，加强重要政务信息的管理，提高政务公开水平。正确执行关于主动公开的新规定，以政府信息公开平台为依托，推动公开内容进一步聚焦重点政务信息，按照政府信息主动公开目录规范完善栏目，法定主动公开内容实现全部公开。</w:t>
      </w:r>
    </w:p>
    <w:p>
      <w:pPr>
        <w:overflowPunct w:val="0"/>
        <w:spacing w:line="600" w:lineRule="exact"/>
        <w:ind w:firstLine="640" w:firstLineChars="200"/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  <w:lang w:eastAsia="zh-CN"/>
        </w:rPr>
        <w:t>（五）</w:t>
      </w:r>
      <w:r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</w:rPr>
        <w:t>监督保障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一是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根据市供销社班子成员和分工调整实际，及时调整市供销社政府信息公开领导小组成员名单，将政府信息公开工作职责具体落实到人。二是严格执行保密法规定，坚决杜绝失、泄密情况的发生。三是坚持主要负责同志亲自部署，分管同志具体负责，办公室牵头组织落实，统筹安排市供销社政务公开工作，确保做到应公开尽公开。</w:t>
      </w:r>
    </w:p>
    <w:p>
      <w:pPr>
        <w:numPr>
          <w:ilvl w:val="0"/>
          <w:numId w:val="0"/>
        </w:numPr>
        <w:overflowPunct w:val="0"/>
        <w:spacing w:line="600" w:lineRule="exact"/>
        <w:ind w:leftChars="0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  <w:t>二、主动公开政府信息情况</w:t>
      </w:r>
    </w:p>
    <w:tbl>
      <w:tblPr>
        <w:tblStyle w:val="5"/>
        <w:tblW w:w="947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16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第二十条第（一）项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本年废止件数</w:t>
            </w:r>
          </w:p>
        </w:tc>
        <w:tc>
          <w:tcPr>
            <w:tcW w:w="216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现行有效件数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第二十条第（五）项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行政许可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第二十条第（六）项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7038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行政处罚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行政强制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第二十条第（八）项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本年收费金额（单位：万元）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行政事业性收费</w:t>
            </w:r>
          </w:p>
          <w:p/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rPr>
                <w:rFonts w:ascii="宋体" w:hAnsi="Times New Roman" w:eastAsia="宋体" w:cs="Times New Roman"/>
                <w:color w:val="000000"/>
                <w:sz w:val="20"/>
                <w:szCs w:val="20"/>
              </w:rPr>
            </w:pPr>
          </w:p>
        </w:tc>
      </w:tr>
    </w:tbl>
    <w:p>
      <w:pPr>
        <w:overflowPunct w:val="0"/>
        <w:spacing w:line="600" w:lineRule="exact"/>
        <w:ind w:firstLine="640" w:firstLineChars="200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楷体" w:hAnsi="楷体" w:eastAsia="楷体" w:cs="楷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vMerge w:val="restart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76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  <w:jc w:val="center"/>
        </w:trPr>
        <w:tc>
          <w:tcPr>
            <w:tcW w:w="76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eastAsia" w:ascii="楷体" w:hAnsi="楷体" w:eastAsia="楷体" w:cs="楷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4" w:space="0"/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Calibri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ascii="Times New Roman" w:hAnsi="Times New Roman" w:eastAsia="宋体" w:cs="Calibri"/>
                <w:color w:val="000000"/>
                <w:sz w:val="20"/>
                <w:szCs w:val="20"/>
                <w:lang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ascii="Times New Roman" w:hAnsi="Times New Roman" w:eastAsia="宋体" w:cs="Calibri"/>
                <w:color w:val="000000"/>
                <w:sz w:val="20"/>
                <w:szCs w:val="20"/>
                <w:lang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ascii="Times New Roman" w:hAnsi="Times New Roman" w:eastAsia="宋体" w:cs="Calibri"/>
                <w:color w:val="000000"/>
                <w:sz w:val="20"/>
                <w:szCs w:val="20"/>
                <w:lang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Times New Roman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</w:tbl>
    <w:p>
      <w:pPr>
        <w:overflowPunct w:val="0"/>
        <w:spacing w:line="600" w:lineRule="exact"/>
        <w:ind w:firstLine="640" w:firstLineChars="200"/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650"/>
        <w:gridCol w:w="650"/>
        <w:gridCol w:w="650"/>
        <w:gridCol w:w="650"/>
        <w:gridCol w:w="649"/>
        <w:gridCol w:w="649"/>
        <w:gridCol w:w="650"/>
        <w:gridCol w:w="650"/>
        <w:gridCol w:w="650"/>
        <w:gridCol w:w="650"/>
        <w:gridCol w:w="650"/>
        <w:gridCol w:w="650"/>
        <w:gridCol w:w="650"/>
        <w:gridCol w:w="65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5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行政复议</w:t>
            </w:r>
          </w:p>
        </w:tc>
        <w:tc>
          <w:tcPr>
            <w:tcW w:w="649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50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结果维持</w:t>
            </w:r>
          </w:p>
        </w:tc>
        <w:tc>
          <w:tcPr>
            <w:tcW w:w="650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纠正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尚未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审结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未经复议直接起诉</w:t>
            </w:r>
          </w:p>
        </w:tc>
        <w:tc>
          <w:tcPr>
            <w:tcW w:w="325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rPr>
          <w:jc w:val="center"/>
        </w:trPr>
        <w:tc>
          <w:tcPr>
            <w:tcW w:w="65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65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尚未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总计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维持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尚未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Times New Roman" w:eastAsia="宋体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0</w:t>
            </w:r>
          </w:p>
        </w:tc>
      </w:tr>
    </w:tbl>
    <w:p>
      <w:pPr>
        <w:overflowPunct w:val="0"/>
        <w:spacing w:line="600" w:lineRule="exact"/>
        <w:ind w:firstLine="640" w:firstLineChars="200"/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  <w:t>五、存在的主要问题及改进情况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根据市政务公开办202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年的反馈问题情况来看，目前市供销社政务公开还存在需要改善的问题，一是政务公开工作力量薄弱，具办人员工作能力和水平有待提升。二是政务公开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不够及时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，缺乏创新性。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下一步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一是强化人员配置，积极参加各类政务公开工作学习培训，提升履职能力。二是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以社会公众、企业、农民关注度高的政务信息为突破口，提高政务公开质量，丰富政务公开内容。</w:t>
      </w:r>
      <w:bookmarkStart w:id="0" w:name="_GoBack"/>
      <w:bookmarkEnd w:id="0"/>
    </w:p>
    <w:p>
      <w:pPr>
        <w:overflowPunct w:val="0"/>
        <w:spacing w:line="60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  <w:t>六、其他需要报告的事项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按照《国务院办公厅关于印发〈政府信息公开信息处理费管理办法〉的通知》（国办函〔2020〕109 号）规定的按件、按量收费标准，本年度没有产生信息公开处理费。</w:t>
      </w:r>
    </w:p>
    <w:p>
      <w:pPr>
        <w:overflowPunct w:val="0"/>
        <w:spacing w:line="60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</w:p>
    <w:p>
      <w:pPr>
        <w:overflowPunct w:val="0"/>
        <w:spacing w:line="60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</w:p>
    <w:p/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644" w:right="1531" w:bottom="1644" w:left="1531" w:header="567" w:footer="1417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tabs>
        <w:tab w:val="left" w:pos="840"/>
      </w:tabs>
      <w:ind w:right="336" w:rightChars="160"/>
      <w:jc w:val="center"/>
      <w:rPr>
        <w:rStyle w:val="7"/>
        <w:rFonts w:hint="eastAsia" w:ascii="仿宋_GB2312" w:hAnsi="宋体" w:eastAsia="仿宋_GB2312" w:cs="Times New Roman"/>
        <w:sz w:val="28"/>
        <w:szCs w:val="28"/>
      </w:rPr>
    </w:pPr>
    <w:r>
      <w:rPr>
        <w:rStyle w:val="7"/>
        <w:rFonts w:hint="eastAsia" w:ascii="仿宋_GB2312" w:hAnsi="宋体" w:eastAsia="仿宋_GB2312" w:cs="Times New Roman"/>
        <w:sz w:val="28"/>
        <w:szCs w:val="28"/>
      </w:rPr>
      <w:t xml:space="preserve">— </w:t>
    </w:r>
    <w:r>
      <w:rPr>
        <w:rFonts w:hint="eastAsia" w:ascii="宋体" w:hAnsi="宋体" w:eastAsia="宋体" w:cs="Times New Roman"/>
        <w:sz w:val="28"/>
        <w:szCs w:val="28"/>
      </w:rPr>
      <w:fldChar w:fldCharType="begin"/>
    </w:r>
    <w:r>
      <w:rPr>
        <w:rStyle w:val="7"/>
        <w:rFonts w:hint="eastAsia" w:ascii="宋体" w:hAnsi="宋体" w:eastAsia="宋体" w:cs="Times New Roman"/>
        <w:sz w:val="28"/>
        <w:szCs w:val="28"/>
      </w:rPr>
      <w:instrText xml:space="preserve">PAGE  </w:instrText>
    </w:r>
    <w:r>
      <w:rPr>
        <w:rFonts w:hint="eastAsia" w:ascii="宋体" w:hAnsi="宋体" w:eastAsia="宋体" w:cs="Times New Roman"/>
        <w:sz w:val="28"/>
        <w:szCs w:val="28"/>
      </w:rPr>
      <w:fldChar w:fldCharType="separate"/>
    </w:r>
    <w:r>
      <w:rPr>
        <w:rStyle w:val="7"/>
        <w:rFonts w:ascii="宋体" w:hAnsi="宋体" w:eastAsia="宋体" w:cs="Times New Roman"/>
        <w:sz w:val="28"/>
        <w:szCs w:val="28"/>
      </w:rPr>
      <w:t>3</w:t>
    </w:r>
    <w:r>
      <w:rPr>
        <w:rFonts w:hint="eastAsia" w:ascii="宋体" w:hAnsi="宋体" w:eastAsia="宋体" w:cs="Times New Roman"/>
        <w:sz w:val="28"/>
        <w:szCs w:val="28"/>
      </w:rPr>
      <w:fldChar w:fldCharType="end"/>
    </w:r>
    <w:r>
      <w:rPr>
        <w:rStyle w:val="7"/>
        <w:rFonts w:hint="eastAsia" w:ascii="仿宋_GB2312" w:hAnsi="宋体" w:eastAsia="仿宋_GB2312" w:cs="Times New Roman"/>
        <w:sz w:val="28"/>
        <w:szCs w:val="28"/>
      </w:rPr>
      <w:t xml:space="preserve"> —               </w:t>
    </w:r>
  </w:p>
  <w:p>
    <w:pPr>
      <w:pStyle w:val="3"/>
      <w:ind w:right="360" w:firstLine="360"/>
      <w:rPr>
        <w:rFonts w:hint="eastAsia" w:ascii="Times New Roman" w:hAnsi="Times New Roman" w:eastAsia="宋体" w:cs="Times New Roman"/>
      </w:rPr>
    </w:pPr>
    <w:r>
      <w:rPr>
        <w:rFonts w:hint="eastAsia" w:ascii="Times New Roman" w:hAnsi="Times New Roman" w:eastAsia="宋体" w:cs="Times New Roman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ind w:firstLine="280" w:firstLineChars="100"/>
      <w:rPr>
        <w:rStyle w:val="7"/>
        <w:rFonts w:hint="eastAsia" w:ascii="仿宋_GB2312" w:hAnsi="宋体" w:eastAsia="仿宋_GB2312" w:cs="Times New Roman"/>
        <w:sz w:val="28"/>
        <w:szCs w:val="28"/>
      </w:rPr>
    </w:pPr>
    <w:r>
      <w:rPr>
        <w:rStyle w:val="7"/>
        <w:rFonts w:hint="eastAsia" w:ascii="仿宋_GB2312" w:hAnsi="宋体" w:eastAsia="仿宋_GB2312" w:cs="Times New Roman"/>
        <w:sz w:val="28"/>
        <w:szCs w:val="28"/>
      </w:rPr>
      <w:t xml:space="preserve">— </w:t>
    </w:r>
    <w:r>
      <w:rPr>
        <w:rFonts w:hint="eastAsia" w:ascii="宋体" w:hAnsi="宋体" w:eastAsia="宋体" w:cs="Times New Roman"/>
        <w:sz w:val="28"/>
        <w:szCs w:val="28"/>
      </w:rPr>
      <w:fldChar w:fldCharType="begin"/>
    </w:r>
    <w:r>
      <w:rPr>
        <w:rStyle w:val="7"/>
        <w:rFonts w:hint="eastAsia" w:ascii="宋体" w:hAnsi="宋体" w:eastAsia="宋体" w:cs="Times New Roman"/>
        <w:sz w:val="28"/>
        <w:szCs w:val="28"/>
      </w:rPr>
      <w:instrText xml:space="preserve">PAGE  </w:instrText>
    </w:r>
    <w:r>
      <w:rPr>
        <w:rFonts w:hint="eastAsia" w:ascii="宋体" w:hAnsi="宋体" w:eastAsia="宋体" w:cs="Times New Roman"/>
        <w:sz w:val="28"/>
        <w:szCs w:val="28"/>
      </w:rPr>
      <w:fldChar w:fldCharType="separate"/>
    </w:r>
    <w:r>
      <w:rPr>
        <w:rStyle w:val="7"/>
        <w:rFonts w:ascii="宋体" w:hAnsi="宋体" w:eastAsia="宋体" w:cs="Times New Roman"/>
        <w:sz w:val="28"/>
        <w:szCs w:val="28"/>
      </w:rPr>
      <w:t>2</w:t>
    </w:r>
    <w:r>
      <w:rPr>
        <w:rFonts w:hint="eastAsia" w:ascii="宋体" w:hAnsi="宋体" w:eastAsia="宋体" w:cs="Times New Roman"/>
        <w:sz w:val="28"/>
        <w:szCs w:val="28"/>
      </w:rPr>
      <w:fldChar w:fldCharType="end"/>
    </w:r>
    <w:r>
      <w:rPr>
        <w:rStyle w:val="7"/>
        <w:rFonts w:hint="eastAsia" w:ascii="仿宋_GB2312" w:hAnsi="宋体" w:eastAsia="仿宋_GB2312" w:cs="Times New Roman"/>
        <w:sz w:val="28"/>
        <w:szCs w:val="28"/>
      </w:rPr>
      <w:t xml:space="preserve"> —</w:t>
    </w:r>
  </w:p>
  <w:p>
    <w:pPr>
      <w:pStyle w:val="3"/>
      <w:ind w:right="360" w:firstLine="360"/>
      <w:rPr>
        <w:rFonts w:ascii="Times New Roman" w:hAnsi="Times New Roman" w:eastAsia="宋体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rPr>
        <w:rFonts w:ascii="Times New Roman" w:hAnsi="Times New Roman" w:eastAsia="宋体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1YzY5ODZjMDJkNTJhMjQ3M2Q3NzQxNzhjYjg2MWMifQ=="/>
  </w:docVars>
  <w:rsids>
    <w:rsidRoot w:val="00000000"/>
    <w:rsid w:val="144DE103"/>
    <w:rsid w:val="27CFDE6C"/>
    <w:rsid w:val="2FBA0F9D"/>
    <w:rsid w:val="3CFF9FC6"/>
    <w:rsid w:val="4FFF2605"/>
    <w:rsid w:val="512F776D"/>
    <w:rsid w:val="5BBFDA3F"/>
    <w:rsid w:val="5C570976"/>
    <w:rsid w:val="5C814FE4"/>
    <w:rsid w:val="5FFBE767"/>
    <w:rsid w:val="6EB70BED"/>
    <w:rsid w:val="74F7F07C"/>
    <w:rsid w:val="7FDAFAE6"/>
    <w:rsid w:val="7FFFBC92"/>
    <w:rsid w:val="CE768E24"/>
    <w:rsid w:val="F73B1A37"/>
    <w:rsid w:val="FBF52035"/>
    <w:rsid w:val="FBFE04A5"/>
    <w:rsid w:val="FFF1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4">
    <w:name w:val="header"/>
    <w:qFormat/>
    <w:uiPriority w:val="0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character" w:styleId="7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137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2023-12-26T19:12:00Z</dcterms:created>
  <dc:creator>AC</dc:creator>
  <cp:lastModifiedBy>greatwall</cp:lastModifiedBy>
  <dcterms:modified xsi:type="dcterms:W3CDTF">2025-09-02T11:29:16Z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C5F506EFE2324838954FA347B84EB637_13</vt:lpwstr>
  </property>
</Properties>
</file>